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0C2F" w14:textId="77777777" w:rsidR="007D3328" w:rsidRPr="00DE031A" w:rsidRDefault="007D3328" w:rsidP="007D3328">
      <w:pPr>
        <w:pStyle w:val="NormalWeb"/>
        <w:spacing w:before="0" w:beforeAutospacing="0" w:after="0" w:afterAutospacing="0"/>
        <w:jc w:val="both"/>
        <w:rPr>
          <w:sz w:val="22"/>
          <w:szCs w:val="22"/>
          <w:lang w:val="es-PA"/>
        </w:rPr>
      </w:pPr>
      <w:bookmarkStart w:id="0" w:name="_Hlk116549363"/>
      <w:r w:rsidRPr="00DE031A">
        <w:rPr>
          <w:sz w:val="22"/>
          <w:szCs w:val="22"/>
        </w:rPr>
        <w:t>Se inicia con la revisión de</w:t>
      </w:r>
      <w:bookmarkStart w:id="1" w:name="_Hlk207182894"/>
      <w:r w:rsidRPr="00DE031A">
        <w:rPr>
          <w:sz w:val="22"/>
          <w:szCs w:val="22"/>
        </w:rPr>
        <w:t xml:space="preserve"> la ficha </w:t>
      </w:r>
      <w:r w:rsidRPr="00DE031A">
        <w:rPr>
          <w:bCs/>
          <w:sz w:val="22"/>
          <w:szCs w:val="22"/>
          <w:lang w:val="es-PA"/>
        </w:rPr>
        <w:t>técnica 105924</w:t>
      </w:r>
      <w:r w:rsidRPr="00DE031A">
        <w:rPr>
          <w:rFonts w:ascii="Roboto" w:eastAsia="Calibri" w:hAnsi="Roboto"/>
          <w:color w:val="212529"/>
          <w:sz w:val="22"/>
          <w:szCs w:val="22"/>
          <w:shd w:val="clear" w:color="auto" w:fill="FFFFFF"/>
          <w:lang w:eastAsia="en-US"/>
        </w:rPr>
        <w:t xml:space="preserve"> </w:t>
      </w:r>
      <w:r w:rsidRPr="00DE031A">
        <w:rPr>
          <w:bCs/>
          <w:sz w:val="22"/>
          <w:szCs w:val="22"/>
        </w:rPr>
        <w:t xml:space="preserve">RESINA FOTOPOLIMERIZABLE DE NANOPARTICULAS, PARA RESTAURACIONES POSTERIORES EN BLOQUE, </w:t>
      </w:r>
      <w:bookmarkStart w:id="2" w:name="_Hlk207184720"/>
      <w:r w:rsidRPr="00DE031A">
        <w:rPr>
          <w:bCs/>
          <w:sz w:val="22"/>
          <w:szCs w:val="22"/>
        </w:rPr>
        <w:t>formulario, 10221</w:t>
      </w:r>
      <w:bookmarkEnd w:id="1"/>
      <w:bookmarkEnd w:id="2"/>
      <w:r w:rsidRPr="00DE031A">
        <w:rPr>
          <w:sz w:val="22"/>
          <w:szCs w:val="22"/>
        </w:rPr>
        <w:t>:</w:t>
      </w:r>
    </w:p>
    <w:p w14:paraId="26876794" w14:textId="77777777" w:rsidR="007D3328" w:rsidRPr="00DE031A" w:rsidRDefault="007D3328" w:rsidP="007D3328">
      <w:pPr>
        <w:pStyle w:val="Prrafodelista"/>
        <w:ind w:left="0"/>
        <w:jc w:val="both"/>
        <w:rPr>
          <w:rFonts w:ascii="Times New Roman" w:hAnsi="Times New Roman"/>
          <w:bCs/>
        </w:rPr>
      </w:pPr>
      <w:bookmarkStart w:id="3" w:name="_Hlk207013451"/>
      <w:bookmarkEnd w:id="0"/>
    </w:p>
    <w:bookmarkEnd w:id="3"/>
    <w:p w14:paraId="339D5FF3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Nombre genérico: RESINA FOTOPOLIMERIZABLE, PARA RESTAURACIONES POSTERIORES EN BLOQUE.</w:t>
      </w:r>
      <w:r w:rsidRPr="00DE031A">
        <w:rPr>
          <w:rFonts w:ascii="Times New Roman" w:eastAsia="Calibri" w:hAnsi="Times New Roman"/>
          <w:bCs/>
          <w:strike/>
          <w:lang w:val="es-MX"/>
        </w:rPr>
        <w:t xml:space="preserve"> DE NANOPARTICULAS</w:t>
      </w:r>
    </w:p>
    <w:p w14:paraId="3776B62F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6037F8CC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strike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 xml:space="preserve">Descripción Genérica: Resina para restauraciones posteriores </w:t>
      </w:r>
      <w:r w:rsidRPr="00DE031A">
        <w:rPr>
          <w:rFonts w:ascii="Times New Roman" w:eastAsia="Calibri" w:hAnsi="Times New Roman"/>
          <w:bCs/>
          <w:color w:val="FF0000"/>
          <w:lang w:val="es-MX"/>
        </w:rPr>
        <w:t>en bloque</w:t>
      </w:r>
      <w:r w:rsidRPr="00DE031A">
        <w:rPr>
          <w:rFonts w:ascii="Times New Roman" w:eastAsia="Calibri" w:hAnsi="Times New Roman"/>
          <w:bCs/>
          <w:lang w:val="es-MX"/>
        </w:rPr>
        <w:t xml:space="preserve"> </w:t>
      </w:r>
      <w:proofErr w:type="spellStart"/>
      <w:r w:rsidRPr="00DE031A">
        <w:rPr>
          <w:rFonts w:ascii="Times New Roman" w:eastAsia="Calibri" w:hAnsi="Times New Roman"/>
          <w:bCs/>
          <w:lang w:val="es-MX"/>
        </w:rPr>
        <w:t>fotocurable</w:t>
      </w:r>
      <w:proofErr w:type="spellEnd"/>
      <w:r w:rsidRPr="00DE031A">
        <w:rPr>
          <w:rFonts w:ascii="Times New Roman" w:eastAsia="Calibri" w:hAnsi="Times New Roman"/>
          <w:bCs/>
          <w:lang w:val="es-MX"/>
        </w:rPr>
        <w:t xml:space="preserve">. </w:t>
      </w:r>
      <w:r w:rsidRPr="00DE031A">
        <w:rPr>
          <w:rFonts w:ascii="Times New Roman" w:eastAsia="Calibri" w:hAnsi="Times New Roman"/>
          <w:bCs/>
          <w:strike/>
          <w:lang w:val="es-MX"/>
        </w:rPr>
        <w:t>resistente a fuerzas de masticación.</w:t>
      </w:r>
    </w:p>
    <w:p w14:paraId="5E508E23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1B2BCECD" w14:textId="5B7DF093" w:rsidR="007D3328" w:rsidRPr="007D3328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 xml:space="preserve">Especificaciones técnicas </w:t>
      </w:r>
    </w:p>
    <w:p w14:paraId="7AA942EB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color w:val="FF0000"/>
          <w:sz w:val="22"/>
          <w:szCs w:val="22"/>
          <w:lang w:val="es-PA"/>
        </w:rPr>
      </w:pPr>
      <w:r w:rsidRPr="00DE031A">
        <w:rPr>
          <w:bCs/>
          <w:color w:val="FF0000"/>
          <w:sz w:val="22"/>
          <w:szCs w:val="22"/>
          <w:lang w:val="es-PA"/>
        </w:rPr>
        <w:t xml:space="preserve">Resina </w:t>
      </w:r>
      <w:proofErr w:type="spellStart"/>
      <w:r w:rsidRPr="00DE031A">
        <w:rPr>
          <w:bCs/>
          <w:color w:val="FF0000"/>
          <w:sz w:val="22"/>
          <w:szCs w:val="22"/>
          <w:lang w:val="es-PA"/>
        </w:rPr>
        <w:t>fotopolimerizable</w:t>
      </w:r>
      <w:proofErr w:type="spellEnd"/>
      <w:r w:rsidRPr="00DE031A">
        <w:rPr>
          <w:bCs/>
          <w:color w:val="FF0000"/>
          <w:sz w:val="22"/>
          <w:szCs w:val="22"/>
          <w:lang w:val="es-PA"/>
        </w:rPr>
        <w:t xml:space="preserve"> </w:t>
      </w:r>
      <w:proofErr w:type="spellStart"/>
      <w:r w:rsidRPr="00DE031A">
        <w:rPr>
          <w:bCs/>
          <w:color w:val="FF0000"/>
          <w:sz w:val="22"/>
          <w:szCs w:val="22"/>
          <w:lang w:val="es-PA"/>
        </w:rPr>
        <w:t>multihíbrida</w:t>
      </w:r>
      <w:proofErr w:type="spellEnd"/>
      <w:r w:rsidRPr="00DE031A">
        <w:rPr>
          <w:bCs/>
          <w:color w:val="FF0000"/>
          <w:sz w:val="22"/>
          <w:szCs w:val="22"/>
          <w:lang w:val="es-PA"/>
        </w:rPr>
        <w:t xml:space="preserve"> o </w:t>
      </w:r>
      <w:proofErr w:type="spellStart"/>
      <w:r w:rsidRPr="00DE031A">
        <w:rPr>
          <w:bCs/>
          <w:color w:val="FF0000"/>
          <w:sz w:val="22"/>
          <w:szCs w:val="22"/>
          <w:lang w:val="es-PA"/>
        </w:rPr>
        <w:t>nanohibrida</w:t>
      </w:r>
      <w:proofErr w:type="spellEnd"/>
      <w:r w:rsidRPr="00DE031A">
        <w:rPr>
          <w:bCs/>
          <w:color w:val="FF0000"/>
          <w:sz w:val="22"/>
          <w:szCs w:val="22"/>
          <w:lang w:val="es-PA"/>
        </w:rPr>
        <w:t xml:space="preserve"> o de nanopartículas. </w:t>
      </w:r>
    </w:p>
    <w:p w14:paraId="4A793745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 xml:space="preserve">Con partícula de relleno inorgánico 40% </w:t>
      </w:r>
      <w:r w:rsidRPr="00DE031A">
        <w:rPr>
          <w:bCs/>
          <w:color w:val="FF0000"/>
          <w:sz w:val="22"/>
          <w:szCs w:val="22"/>
          <w:lang w:val="es-PA"/>
        </w:rPr>
        <w:t>o mayor</w:t>
      </w:r>
      <w:r w:rsidRPr="00DE031A">
        <w:rPr>
          <w:bCs/>
          <w:sz w:val="22"/>
          <w:szCs w:val="22"/>
          <w:lang w:val="es-PA"/>
        </w:rPr>
        <w:t xml:space="preserve"> por volumen </w:t>
      </w:r>
      <w:r w:rsidRPr="00DE031A">
        <w:rPr>
          <w:bCs/>
          <w:color w:val="FF0000"/>
          <w:sz w:val="22"/>
          <w:szCs w:val="22"/>
          <w:lang w:val="es-PA"/>
        </w:rPr>
        <w:t>o</w:t>
      </w:r>
      <w:r w:rsidRPr="00DE031A">
        <w:rPr>
          <w:bCs/>
          <w:sz w:val="22"/>
          <w:szCs w:val="22"/>
          <w:lang w:val="es-PA"/>
        </w:rPr>
        <w:t xml:space="preserve"> 60 % </w:t>
      </w:r>
      <w:r w:rsidRPr="00DE031A">
        <w:rPr>
          <w:bCs/>
          <w:color w:val="FF0000"/>
          <w:sz w:val="22"/>
          <w:szCs w:val="22"/>
          <w:lang w:val="es-PA"/>
        </w:rPr>
        <w:t>o mayor</w:t>
      </w:r>
      <w:r w:rsidRPr="00DE031A">
        <w:rPr>
          <w:bCs/>
          <w:sz w:val="22"/>
          <w:szCs w:val="22"/>
          <w:lang w:val="es-PA"/>
        </w:rPr>
        <w:t xml:space="preserve"> por peso </w:t>
      </w:r>
      <w:r w:rsidRPr="00DE031A">
        <w:rPr>
          <w:bCs/>
          <w:color w:val="FF0000"/>
          <w:sz w:val="22"/>
          <w:szCs w:val="22"/>
          <w:lang w:val="es-PA"/>
        </w:rPr>
        <w:t>o carga.</w:t>
      </w:r>
      <w:r w:rsidRPr="00DE031A">
        <w:rPr>
          <w:bCs/>
          <w:strike/>
          <w:sz w:val="22"/>
          <w:szCs w:val="22"/>
          <w:lang w:val="es-PA"/>
        </w:rPr>
        <w:t xml:space="preserve"> entre80 % entre-80 %. y</w:t>
      </w:r>
    </w:p>
    <w:p w14:paraId="274A1C52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 xml:space="preserve">Con matriz de UDMA o BISGMA o TEDGMA o </w:t>
      </w:r>
      <w:proofErr w:type="spellStart"/>
      <w:r w:rsidRPr="00DE031A">
        <w:rPr>
          <w:bCs/>
          <w:sz w:val="22"/>
          <w:szCs w:val="22"/>
          <w:lang w:val="es-PA"/>
        </w:rPr>
        <w:t>Dimetracrilatos</w:t>
      </w:r>
      <w:proofErr w:type="spellEnd"/>
      <w:r w:rsidRPr="00DE031A">
        <w:rPr>
          <w:bCs/>
          <w:sz w:val="22"/>
          <w:szCs w:val="22"/>
          <w:lang w:val="es-PA"/>
        </w:rPr>
        <w:t xml:space="preserve"> y relleno con </w:t>
      </w:r>
      <w:proofErr w:type="spellStart"/>
      <w:r w:rsidRPr="00DE031A">
        <w:rPr>
          <w:bCs/>
          <w:sz w:val="22"/>
          <w:szCs w:val="22"/>
          <w:lang w:val="es-PA"/>
        </w:rPr>
        <w:t>trifluoruro</w:t>
      </w:r>
      <w:proofErr w:type="spellEnd"/>
      <w:r w:rsidRPr="00DE031A">
        <w:rPr>
          <w:bCs/>
          <w:sz w:val="22"/>
          <w:szCs w:val="22"/>
          <w:lang w:val="es-PA"/>
        </w:rPr>
        <w:t xml:space="preserve"> de </w:t>
      </w:r>
      <w:r w:rsidRPr="00DE031A">
        <w:rPr>
          <w:bCs/>
          <w:color w:val="FF0000"/>
          <w:sz w:val="22"/>
          <w:szCs w:val="22"/>
          <w:lang w:val="es-PA"/>
        </w:rPr>
        <w:t xml:space="preserve">iterbio </w:t>
      </w:r>
      <w:r w:rsidRPr="00DE031A">
        <w:rPr>
          <w:bCs/>
          <w:sz w:val="22"/>
          <w:szCs w:val="22"/>
          <w:lang w:val="es-PA"/>
        </w:rPr>
        <w:t xml:space="preserve">o </w:t>
      </w:r>
      <w:proofErr w:type="spellStart"/>
      <w:r w:rsidRPr="00DE031A">
        <w:rPr>
          <w:bCs/>
          <w:sz w:val="22"/>
          <w:szCs w:val="22"/>
          <w:lang w:val="es-PA"/>
        </w:rPr>
        <w:t>silice</w:t>
      </w:r>
      <w:proofErr w:type="spellEnd"/>
      <w:r w:rsidRPr="00DE031A">
        <w:rPr>
          <w:bCs/>
          <w:sz w:val="22"/>
          <w:szCs w:val="22"/>
          <w:lang w:val="es-PA"/>
        </w:rPr>
        <w:t xml:space="preserve"> o vidrio de bario o silicatos </w:t>
      </w:r>
      <w:r w:rsidRPr="00DE031A">
        <w:rPr>
          <w:bCs/>
          <w:color w:val="FF0000"/>
          <w:sz w:val="22"/>
          <w:szCs w:val="22"/>
          <w:lang w:val="es-PA"/>
        </w:rPr>
        <w:t xml:space="preserve">o </w:t>
      </w:r>
      <w:proofErr w:type="spellStart"/>
      <w:r w:rsidRPr="00DE031A">
        <w:rPr>
          <w:bCs/>
          <w:color w:val="FF0000"/>
          <w:sz w:val="22"/>
          <w:szCs w:val="22"/>
          <w:lang w:val="es-PA"/>
        </w:rPr>
        <w:t>zirconia</w:t>
      </w:r>
      <w:proofErr w:type="spellEnd"/>
      <w:r w:rsidRPr="00DE031A">
        <w:rPr>
          <w:bCs/>
          <w:color w:val="FF0000"/>
          <w:sz w:val="22"/>
          <w:szCs w:val="22"/>
          <w:lang w:val="es-PA"/>
        </w:rPr>
        <w:t>.</w:t>
      </w:r>
      <w:r w:rsidRPr="00DE031A">
        <w:rPr>
          <w:bCs/>
          <w:strike/>
          <w:sz w:val="22"/>
          <w:szCs w:val="22"/>
          <w:lang w:val="es-PA"/>
        </w:rPr>
        <w:t xml:space="preserve"> </w:t>
      </w:r>
      <w:proofErr w:type="spellStart"/>
      <w:r w:rsidRPr="00DE031A">
        <w:rPr>
          <w:bCs/>
          <w:strike/>
          <w:sz w:val="22"/>
          <w:szCs w:val="22"/>
          <w:lang w:val="es-PA"/>
        </w:rPr>
        <w:t>herbio</w:t>
      </w:r>
      <w:proofErr w:type="spellEnd"/>
    </w:p>
    <w:p w14:paraId="612D4FDA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 xml:space="preserve">Técnica de aplicación en bloque </w:t>
      </w:r>
      <w:r w:rsidRPr="00DE031A">
        <w:rPr>
          <w:bCs/>
          <w:color w:val="FF0000"/>
          <w:sz w:val="22"/>
          <w:szCs w:val="22"/>
          <w:lang w:val="es-PA"/>
        </w:rPr>
        <w:t>o en un (1) incremento</w:t>
      </w:r>
      <w:r w:rsidRPr="00DE031A">
        <w:rPr>
          <w:bCs/>
          <w:sz w:val="22"/>
          <w:szCs w:val="22"/>
          <w:lang w:val="es-PA"/>
        </w:rPr>
        <w:t xml:space="preserve">, para dientes posteriores con espesor </w:t>
      </w:r>
      <w:r w:rsidRPr="00DE031A">
        <w:rPr>
          <w:bCs/>
          <w:color w:val="FF0000"/>
          <w:sz w:val="22"/>
          <w:szCs w:val="22"/>
          <w:lang w:val="es-PA"/>
        </w:rPr>
        <w:t>de 4mm o mayor.</w:t>
      </w:r>
      <w:r w:rsidRPr="00DE031A">
        <w:rPr>
          <w:bCs/>
          <w:sz w:val="22"/>
          <w:szCs w:val="22"/>
          <w:lang w:val="es-PA"/>
        </w:rPr>
        <w:t xml:space="preserve"> </w:t>
      </w:r>
      <w:r w:rsidRPr="00DE031A">
        <w:rPr>
          <w:bCs/>
          <w:strike/>
          <w:sz w:val="22"/>
          <w:szCs w:val="22"/>
          <w:lang w:val="es-PA"/>
        </w:rPr>
        <w:t xml:space="preserve">mínimo de 4 </w:t>
      </w:r>
      <w:proofErr w:type="spellStart"/>
      <w:r w:rsidRPr="00DE031A">
        <w:rPr>
          <w:bCs/>
          <w:strike/>
          <w:sz w:val="22"/>
          <w:szCs w:val="22"/>
          <w:lang w:val="es-PA"/>
        </w:rPr>
        <w:t>mm.</w:t>
      </w:r>
      <w:proofErr w:type="spellEnd"/>
      <w:r w:rsidRPr="00DE031A">
        <w:rPr>
          <w:bCs/>
          <w:strike/>
          <w:sz w:val="22"/>
          <w:szCs w:val="22"/>
          <w:lang w:val="es-PA"/>
        </w:rPr>
        <w:t xml:space="preserve"> </w:t>
      </w:r>
    </w:p>
    <w:p w14:paraId="225D44C6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 xml:space="preserve">Profundidad de curado </w:t>
      </w:r>
      <w:r w:rsidRPr="00DE031A">
        <w:rPr>
          <w:bCs/>
          <w:color w:val="FF0000"/>
          <w:sz w:val="22"/>
          <w:szCs w:val="22"/>
          <w:lang w:val="es-PA"/>
        </w:rPr>
        <w:t>para dientes posteriores con espesor de 4mm o mayor.</w:t>
      </w:r>
    </w:p>
    <w:p w14:paraId="6F242CF4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>Contracción por polimerización</w:t>
      </w:r>
      <w:r w:rsidRPr="00DE031A">
        <w:rPr>
          <w:bCs/>
          <w:color w:val="FF0000"/>
          <w:sz w:val="22"/>
          <w:szCs w:val="22"/>
          <w:lang w:val="es-PA"/>
        </w:rPr>
        <w:t xml:space="preserve"> menor al 2%.</w:t>
      </w:r>
      <w:r w:rsidRPr="00DE031A">
        <w:rPr>
          <w:bCs/>
          <w:sz w:val="22"/>
          <w:szCs w:val="22"/>
          <w:lang w:val="es-PA"/>
        </w:rPr>
        <w:t xml:space="preserve"> </w:t>
      </w:r>
      <w:r w:rsidRPr="00DE031A">
        <w:rPr>
          <w:bCs/>
          <w:strike/>
          <w:sz w:val="22"/>
          <w:szCs w:val="22"/>
          <w:lang w:val="es-PA"/>
        </w:rPr>
        <w:t>de 1.69 – 1.70 %.</w:t>
      </w:r>
    </w:p>
    <w:p w14:paraId="59DD825A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proofErr w:type="spellStart"/>
      <w:r w:rsidRPr="00DE031A">
        <w:rPr>
          <w:bCs/>
          <w:color w:val="FF0000"/>
          <w:sz w:val="22"/>
          <w:szCs w:val="22"/>
          <w:lang w:val="es-PA"/>
        </w:rPr>
        <w:t>Compactable</w:t>
      </w:r>
      <w:proofErr w:type="spellEnd"/>
      <w:r w:rsidRPr="00DE031A">
        <w:rPr>
          <w:bCs/>
          <w:color w:val="FF0000"/>
          <w:sz w:val="22"/>
          <w:szCs w:val="22"/>
          <w:lang w:val="es-PA"/>
        </w:rPr>
        <w:t xml:space="preserve"> o</w:t>
      </w:r>
      <w:r w:rsidRPr="00DE031A">
        <w:rPr>
          <w:bCs/>
          <w:sz w:val="22"/>
          <w:szCs w:val="22"/>
          <w:lang w:val="es-PA"/>
        </w:rPr>
        <w:t xml:space="preserve"> condensable.</w:t>
      </w:r>
      <w:r w:rsidRPr="00DE031A">
        <w:rPr>
          <w:bCs/>
          <w:strike/>
          <w:sz w:val="22"/>
          <w:szCs w:val="22"/>
          <w:lang w:val="es-PA"/>
        </w:rPr>
        <w:t xml:space="preserve"> Con viscosidad normal ().</w:t>
      </w:r>
    </w:p>
    <w:p w14:paraId="21DE9E53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color w:val="FF0000"/>
          <w:sz w:val="22"/>
          <w:szCs w:val="22"/>
          <w:lang w:val="es-PA"/>
        </w:rPr>
      </w:pPr>
      <w:r w:rsidRPr="00DE031A">
        <w:rPr>
          <w:bCs/>
          <w:color w:val="FF0000"/>
          <w:sz w:val="22"/>
          <w:szCs w:val="22"/>
          <w:lang w:val="es-PA"/>
        </w:rPr>
        <w:t>Alta viscosidad.</w:t>
      </w:r>
    </w:p>
    <w:p w14:paraId="746C91A4" w14:textId="77777777" w:rsidR="007D3328" w:rsidRPr="00DE031A" w:rsidRDefault="007D3328" w:rsidP="007D3328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DE031A">
        <w:rPr>
          <w:bCs/>
          <w:sz w:val="22"/>
          <w:szCs w:val="22"/>
          <w:lang w:val="es-PA"/>
        </w:rPr>
        <w:t>Jeringa de 4 gramos mínimo.</w:t>
      </w:r>
    </w:p>
    <w:p w14:paraId="2870E084" w14:textId="3B6A0D67" w:rsidR="007D3328" w:rsidRPr="00DE031A" w:rsidRDefault="007D3328" w:rsidP="007D3328">
      <w:pPr>
        <w:pStyle w:val="NormalWeb"/>
        <w:spacing w:before="0" w:beforeAutospacing="0" w:after="0" w:afterAutospacing="0"/>
        <w:ind w:left="993" w:hanging="284"/>
        <w:rPr>
          <w:bCs/>
          <w:strike/>
          <w:sz w:val="22"/>
          <w:szCs w:val="22"/>
          <w:lang w:val="es-PA"/>
        </w:rPr>
      </w:pPr>
      <w:r w:rsidRPr="00DE031A">
        <w:rPr>
          <w:bCs/>
          <w:strike/>
          <w:sz w:val="22"/>
          <w:szCs w:val="22"/>
          <w:lang w:val="es-PA"/>
        </w:rPr>
        <w:t>7.</w:t>
      </w:r>
      <w:r w:rsidRPr="00DE031A">
        <w:rPr>
          <w:bCs/>
          <w:strike/>
          <w:sz w:val="22"/>
          <w:szCs w:val="22"/>
          <w:lang w:val="es-PA"/>
        </w:rPr>
        <w:tab/>
        <w:t>Juego que contiene:</w:t>
      </w:r>
    </w:p>
    <w:p w14:paraId="0D61E240" w14:textId="77777777" w:rsidR="007D3328" w:rsidRPr="00DE031A" w:rsidRDefault="007D3328" w:rsidP="007D3328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DE031A">
        <w:rPr>
          <w:bCs/>
          <w:strike/>
          <w:sz w:val="22"/>
          <w:szCs w:val="22"/>
          <w:lang w:val="es-PA"/>
        </w:rPr>
        <w:t>7.1.</w:t>
      </w:r>
      <w:r w:rsidRPr="00DE031A">
        <w:rPr>
          <w:bCs/>
          <w:strike/>
          <w:sz w:val="22"/>
          <w:szCs w:val="22"/>
          <w:lang w:val="es-PA"/>
        </w:rPr>
        <w:tab/>
        <w:t>Cuatro (4) jeringas de resina mínimo de 4 gramos (colores A1 o A2 o A3 o B1 o C2).</w:t>
      </w:r>
    </w:p>
    <w:p w14:paraId="7F3170DC" w14:textId="77777777" w:rsidR="007D3328" w:rsidRPr="00DE031A" w:rsidRDefault="007D3328" w:rsidP="007D3328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DE031A">
        <w:rPr>
          <w:bCs/>
          <w:strike/>
          <w:sz w:val="22"/>
          <w:szCs w:val="22"/>
          <w:lang w:val="es-PA"/>
        </w:rPr>
        <w:t>7.2.</w:t>
      </w:r>
      <w:r w:rsidRPr="00DE031A">
        <w:rPr>
          <w:bCs/>
          <w:strike/>
          <w:sz w:val="22"/>
          <w:szCs w:val="22"/>
          <w:lang w:val="es-PA"/>
        </w:rPr>
        <w:tab/>
        <w:t>Jeringa de ácido grabador de mínimo 3 ml.</w:t>
      </w:r>
    </w:p>
    <w:p w14:paraId="26C3B04B" w14:textId="77777777" w:rsidR="007D3328" w:rsidRPr="00DE031A" w:rsidRDefault="007D3328" w:rsidP="007D3328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DE031A">
        <w:rPr>
          <w:bCs/>
          <w:strike/>
          <w:sz w:val="22"/>
          <w:szCs w:val="22"/>
          <w:lang w:val="es-PA"/>
        </w:rPr>
        <w:t>7.3.</w:t>
      </w:r>
      <w:r w:rsidRPr="00DE031A">
        <w:rPr>
          <w:bCs/>
          <w:strike/>
          <w:sz w:val="22"/>
          <w:szCs w:val="22"/>
          <w:lang w:val="es-PA"/>
        </w:rPr>
        <w:tab/>
        <w:t>Agente adhesivo universal en vial mínimo de 5 ml para esmalte y dentina.</w:t>
      </w:r>
    </w:p>
    <w:p w14:paraId="3C4EF733" w14:textId="77777777" w:rsidR="007D3328" w:rsidRPr="00DE031A" w:rsidRDefault="007D3328" w:rsidP="007D3328">
      <w:pPr>
        <w:pStyle w:val="Prrafodelista"/>
        <w:shd w:val="clear" w:color="auto" w:fill="FFFFFF"/>
        <w:ind w:left="0"/>
        <w:textAlignment w:val="baseline"/>
        <w:rPr>
          <w:rFonts w:ascii="Times New Roman" w:eastAsia="Calibri" w:hAnsi="Times New Roman"/>
          <w:bCs/>
          <w:lang w:val="es-MX"/>
        </w:rPr>
      </w:pPr>
    </w:p>
    <w:p w14:paraId="3C6E4415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strike/>
          <w:lang w:val="es-MX"/>
        </w:rPr>
      </w:pPr>
      <w:r w:rsidRPr="00DE031A">
        <w:rPr>
          <w:rFonts w:ascii="Times New Roman" w:eastAsia="Calibri" w:hAnsi="Times New Roman"/>
          <w:bCs/>
          <w:strike/>
          <w:lang w:val="es-MX"/>
        </w:rPr>
        <w:t>LA UNIDAD EJECUTORA PODRÁ SOLICITAR LOS COMPONENTES DEL JUEGO POR SEPARADO.</w:t>
      </w:r>
    </w:p>
    <w:p w14:paraId="6D36AA53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6531240B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LA UNIDAD EJECUTORA SOLICITARÁ LOS COLORES QUE REQUIERAN SEGÚN SU NECESIDAD.</w:t>
      </w:r>
    </w:p>
    <w:p w14:paraId="2940976F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2DFE4435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Observaciones sugeridas para el pliego de cargos:</w:t>
      </w:r>
    </w:p>
    <w:p w14:paraId="0E8B78A7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17A05884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1.</w:t>
      </w:r>
      <w:r w:rsidRPr="00DE031A">
        <w:rPr>
          <w:rFonts w:ascii="Times New Roman" w:eastAsia="Calibri" w:hAnsi="Times New Roman"/>
          <w:bCs/>
          <w:lang w:val="es-MX"/>
        </w:rPr>
        <w:tab/>
        <w:t xml:space="preserve">Envase sellado de fábrica con fecha de expiración visible.  </w:t>
      </w:r>
    </w:p>
    <w:p w14:paraId="7D707C1E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2.</w:t>
      </w:r>
      <w:r w:rsidRPr="00DE031A">
        <w:rPr>
          <w:rFonts w:ascii="Times New Roman" w:eastAsia="Calibri" w:hAnsi="Times New Roman"/>
          <w:bCs/>
          <w:lang w:val="es-MX"/>
        </w:rPr>
        <w:tab/>
        <w:t xml:space="preserve">Debidamente identificado por el fabricante.   </w:t>
      </w:r>
    </w:p>
    <w:p w14:paraId="5F5685A1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3.</w:t>
      </w:r>
      <w:r w:rsidRPr="00DE031A">
        <w:rPr>
          <w:rFonts w:ascii="Times New Roman" w:eastAsia="Calibri" w:hAnsi="Times New Roman"/>
          <w:bCs/>
          <w:lang w:val="es-MX"/>
        </w:rPr>
        <w:tab/>
        <w:t>Cumplir con los estándares internacionales de aseguramiento de la calidad y libre venta.</w:t>
      </w:r>
    </w:p>
    <w:p w14:paraId="15515FB6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</w:p>
    <w:p w14:paraId="6DD18402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Tipo de producto: Material e insumos Odontológicos- Dispositivos Médico</w:t>
      </w:r>
    </w:p>
    <w:p w14:paraId="19C23817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Clase de riesgo: B</w:t>
      </w:r>
    </w:p>
    <w:p w14:paraId="4AEE8B78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Nivel de atención: 1</w:t>
      </w:r>
    </w:p>
    <w:p w14:paraId="3C694E84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CT o CVT: SI</w:t>
      </w:r>
    </w:p>
    <w:p w14:paraId="2EF5E237" w14:textId="77777777" w:rsidR="007D3328" w:rsidRPr="00DE031A" w:rsidRDefault="007D3328" w:rsidP="007D3328">
      <w:pPr>
        <w:pStyle w:val="Prrafodelista"/>
        <w:shd w:val="clear" w:color="auto" w:fill="FFFFFF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>Especialidad: Uso General Odontológico.</w:t>
      </w:r>
    </w:p>
    <w:p w14:paraId="36F0DE5C" w14:textId="079A8246" w:rsidR="00CD1CA2" w:rsidRPr="007D3328" w:rsidRDefault="007D3328" w:rsidP="007D3328">
      <w:pPr>
        <w:pStyle w:val="Prrafodelista"/>
        <w:shd w:val="clear" w:color="auto" w:fill="FFFFFF"/>
        <w:ind w:left="0"/>
        <w:jc w:val="both"/>
        <w:textAlignment w:val="baseline"/>
        <w:rPr>
          <w:rFonts w:ascii="Times New Roman" w:eastAsia="Calibri" w:hAnsi="Times New Roman"/>
          <w:bCs/>
          <w:lang w:val="es-MX"/>
        </w:rPr>
      </w:pPr>
      <w:r w:rsidRPr="00DE031A">
        <w:rPr>
          <w:rFonts w:ascii="Times New Roman" w:eastAsia="Calibri" w:hAnsi="Times New Roman"/>
          <w:bCs/>
          <w:lang w:val="es-MX"/>
        </w:rPr>
        <w:t xml:space="preserve">            Presentación: Unidad o juego</w:t>
      </w:r>
    </w:p>
    <w:sectPr w:rsidR="00CD1CA2" w:rsidRPr="007D3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5E6"/>
    <w:multiLevelType w:val="hybridMultilevel"/>
    <w:tmpl w:val="66CAB194"/>
    <w:lvl w:ilvl="0" w:tplc="0ED69C7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180A0019" w:tentative="1">
      <w:start w:val="1"/>
      <w:numFmt w:val="lowerLetter"/>
      <w:lvlText w:val="%2."/>
      <w:lvlJc w:val="left"/>
      <w:pPr>
        <w:ind w:left="1789" w:hanging="360"/>
      </w:pPr>
    </w:lvl>
    <w:lvl w:ilvl="2" w:tplc="180A001B" w:tentative="1">
      <w:start w:val="1"/>
      <w:numFmt w:val="lowerRoman"/>
      <w:lvlText w:val="%3."/>
      <w:lvlJc w:val="right"/>
      <w:pPr>
        <w:ind w:left="2509" w:hanging="180"/>
      </w:pPr>
    </w:lvl>
    <w:lvl w:ilvl="3" w:tplc="180A000F" w:tentative="1">
      <w:start w:val="1"/>
      <w:numFmt w:val="decimal"/>
      <w:lvlText w:val="%4."/>
      <w:lvlJc w:val="left"/>
      <w:pPr>
        <w:ind w:left="3229" w:hanging="360"/>
      </w:pPr>
    </w:lvl>
    <w:lvl w:ilvl="4" w:tplc="180A0019" w:tentative="1">
      <w:start w:val="1"/>
      <w:numFmt w:val="lowerLetter"/>
      <w:lvlText w:val="%5."/>
      <w:lvlJc w:val="left"/>
      <w:pPr>
        <w:ind w:left="3949" w:hanging="360"/>
      </w:pPr>
    </w:lvl>
    <w:lvl w:ilvl="5" w:tplc="180A001B" w:tentative="1">
      <w:start w:val="1"/>
      <w:numFmt w:val="lowerRoman"/>
      <w:lvlText w:val="%6."/>
      <w:lvlJc w:val="right"/>
      <w:pPr>
        <w:ind w:left="4669" w:hanging="180"/>
      </w:pPr>
    </w:lvl>
    <w:lvl w:ilvl="6" w:tplc="180A000F" w:tentative="1">
      <w:start w:val="1"/>
      <w:numFmt w:val="decimal"/>
      <w:lvlText w:val="%7."/>
      <w:lvlJc w:val="left"/>
      <w:pPr>
        <w:ind w:left="5389" w:hanging="360"/>
      </w:pPr>
    </w:lvl>
    <w:lvl w:ilvl="7" w:tplc="180A0019" w:tentative="1">
      <w:start w:val="1"/>
      <w:numFmt w:val="lowerLetter"/>
      <w:lvlText w:val="%8."/>
      <w:lvlJc w:val="left"/>
      <w:pPr>
        <w:ind w:left="6109" w:hanging="360"/>
      </w:pPr>
    </w:lvl>
    <w:lvl w:ilvl="8" w:tplc="1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03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28"/>
    <w:rsid w:val="007D3328"/>
    <w:rsid w:val="00AC231B"/>
    <w:rsid w:val="00B86243"/>
    <w:rsid w:val="00C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C01E9"/>
  <w15:chartTrackingRefBased/>
  <w15:docId w15:val="{4E6EAC88-089D-442A-BFE2-F2AC12E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3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3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3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3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3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3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332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7D33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33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3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3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7D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7D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1</cp:revision>
  <dcterms:created xsi:type="dcterms:W3CDTF">2025-09-03T17:35:00Z</dcterms:created>
  <dcterms:modified xsi:type="dcterms:W3CDTF">2025-09-03T17:36:00Z</dcterms:modified>
</cp:coreProperties>
</file>