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3081" w14:textId="77777777" w:rsidR="00AC43AE" w:rsidRPr="00760232" w:rsidRDefault="00AC43AE" w:rsidP="00AC43AE">
      <w:pPr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</w:p>
    <w:p w14:paraId="6F6AA538" w14:textId="7ADEA134" w:rsidR="00AC43AE" w:rsidRPr="00760232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76023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Nombre: </w:t>
      </w: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SISTEMA INTEGRAL Y AUTOMATIZADO PARA ANÁLISIS DE OMAS POR MÉTODO DE SECUENCIACIÓN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,</w:t>
      </w:r>
      <w:r w:rsidRPr="00AC43AE">
        <w:rPr>
          <w:rFonts w:ascii="Times New Roman" w:hAnsi="Times New Roman"/>
          <w:sz w:val="24"/>
          <w:szCs w:val="24"/>
        </w:rPr>
        <w:t xml:space="preserve"> </w:t>
      </w:r>
      <w:r w:rsidRPr="00760232">
        <w:rPr>
          <w:rFonts w:ascii="Times New Roman" w:hAnsi="Times New Roman"/>
          <w:sz w:val="24"/>
          <w:szCs w:val="24"/>
        </w:rPr>
        <w:t>formulario</w:t>
      </w:r>
      <w:r>
        <w:rPr>
          <w:rFonts w:ascii="Times New Roman" w:hAnsi="Times New Roman"/>
          <w:sz w:val="24"/>
          <w:szCs w:val="24"/>
        </w:rPr>
        <w:t>: 23128</w:t>
      </w:r>
    </w:p>
    <w:p w14:paraId="695145CF" w14:textId="77777777" w:rsidR="00AC43AE" w:rsidRPr="00760232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</w:rPr>
      </w:pPr>
      <w:r w:rsidRPr="00760232">
        <w:rPr>
          <w:rFonts w:ascii="Times New Roman" w:hAnsi="Times New Roman"/>
          <w:sz w:val="24"/>
          <w:szCs w:val="24"/>
        </w:rPr>
        <w:t xml:space="preserve">Descripción: </w:t>
      </w:r>
      <w:r w:rsidRPr="00760232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D760E8">
        <w:rPr>
          <w:rFonts w:ascii="Times New Roman" w:hAnsi="Times New Roman"/>
          <w:color w:val="212529"/>
          <w:sz w:val="24"/>
          <w:szCs w:val="24"/>
        </w:rPr>
        <w:t>SISTEMA INTEGRAL Y AUTOMATIZADO PARA ANÁLISIS DE OMAS EN CADENAS CORTAS, SALIDA MULTI TIEMPO Y CANALES INDEPENDIENTES POR SECUENCIACIÓN DE PRÓXIMA GENERACIÓN</w:t>
      </w:r>
    </w:p>
    <w:p w14:paraId="6DF008C3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760232">
        <w:rPr>
          <w:rFonts w:ascii="Times New Roman" w:hAnsi="Times New Roman"/>
          <w:sz w:val="24"/>
          <w:szCs w:val="24"/>
        </w:rPr>
        <w:t>Especificaciones técnicas:</w:t>
      </w:r>
      <w:r w:rsidRPr="0076023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</w:p>
    <w:p w14:paraId="5A9D95EF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El sistema puede estar compuesto por: </w:t>
      </w:r>
    </w:p>
    <w:p w14:paraId="239B67EE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1. SECUENCIADOR DE CADENAS CORTAS, SALIDA MULTI TIEMPO Y CANALES INDEPENDIENTES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:</w:t>
      </w:r>
    </w:p>
    <w:p w14:paraId="382E50D8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1.1. Química de secuenciación de 2 o más colores. </w:t>
      </w:r>
    </w:p>
    <w:p w14:paraId="2D31BCA9" w14:textId="738A11CA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1.2. Salidas de datos en múltiples tiempos (MTO) en una misma corrida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</w:p>
    <w:p w14:paraId="15D799E2" w14:textId="40F78A86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1.3. Celdas de flujo compatibles con adaptadores P5 y P7 compatibles con la mayor cantidad de librerías disponibles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</w:p>
    <w:p w14:paraId="5FD81607" w14:textId="3995C01A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1.4. Canales independientes con capacidad de cargar bibliotecas de forma automática o manual en cada canal independiente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</w:p>
    <w:p w14:paraId="35555131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1.5. Calidad de lectura Q30=80% y/o ultra alta (Q40 = 90%). </w:t>
      </w:r>
    </w:p>
    <w:p w14:paraId="3CA789F5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1.6. Algoritmo rápido basado en aprendizaje automático con IA para datos brutos y llamadas de base. </w:t>
      </w:r>
    </w:p>
    <w:p w14:paraId="151DF6E7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1.7. Capacidad de desarrollar y fabricar de forma independiente la solución integral de instrumento, reactivo, celda de flujo, software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</w:p>
    <w:p w14:paraId="3A55BE84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1.8. Reducción de uso de reactivos en un 50% o más. </w:t>
      </w:r>
    </w:p>
    <w:p w14:paraId="2AC60572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1.9. Dos (2) o más rendimientos de celda de flujo. </w:t>
      </w:r>
    </w:p>
    <w:p w14:paraId="65D54F3A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1.10. Capacidad de generación de lecturas hasta 500 millones, de 500 hasta 3500 millones o hasta 23.3 billones de lecturas por corrida de secuenciación. </w:t>
      </w:r>
    </w:p>
    <w:p w14:paraId="084C62CA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1.11. Generación de datos hasta 150 GB, hasta 1.2 TB o hasta 7TB por corrida de secuenciación. </w:t>
      </w:r>
    </w:p>
    <w:p w14:paraId="62B01F4A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1.12. Lecturas de cadenas cortas de hasta 600 ciclos o menos </w:t>
      </w:r>
    </w:p>
    <w:p w14:paraId="255E099B" w14:textId="1BC214A3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2. EXTRACTOR DE ÁCIDOS NUCLEICOS AUTOMATIZADO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:</w:t>
      </w: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</w:p>
    <w:p w14:paraId="4786D331" w14:textId="2124CC65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2.1. Uso con reactivos de extracción </w:t>
      </w:r>
      <w:proofErr w:type="spellStart"/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preempaquetados</w:t>
      </w:r>
      <w:proofErr w:type="spellEnd"/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basados en perlas magnéticas </w:t>
      </w:r>
      <w:proofErr w:type="spellStart"/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superparamagnéticas</w:t>
      </w:r>
      <w:proofErr w:type="spellEnd"/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recubiertas de sílice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</w:p>
    <w:p w14:paraId="0EFF6D4A" w14:textId="0E745D1D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2.2. Extracción de 32 muestras en solo 10 minutos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</w:p>
    <w:p w14:paraId="3A0C8C6F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2.3. Rendimiento de 1-32 muestras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</w:p>
    <w:p w14:paraId="1E002E7D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2.4. Volumen tratado de 20-1000 µL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</w:p>
    <w:p w14:paraId="068BAEF3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lastRenderedPageBreak/>
        <w:t>2.5. Placa de 96 pocillos profundos + funda de varilla magnética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</w:p>
    <w:p w14:paraId="585E29A6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2.6. Variación de Rango de humedad de funcionamiento: 10%-90%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</w:p>
    <w:p w14:paraId="01F623DD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2.7. Rango operativo de temperatura de10-40 °C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</w:p>
    <w:p w14:paraId="24A8CCA4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2.8. Temperatura de calentamiento durante la lisis: De temperatura ambiente a 120 °C </w:t>
      </w:r>
    </w:p>
    <w:p w14:paraId="1CEE6EC0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2.9. Temperatura de calentamiento durante la elución: De temperatura ambiente a 120°C. 2.10. Precisión de temperatura: ±1 °C </w:t>
      </w:r>
    </w:p>
    <w:p w14:paraId="72AC088C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2.11. </w:t>
      </w:r>
      <w:proofErr w:type="spellStart"/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Multiengranaje</w:t>
      </w:r>
      <w:proofErr w:type="spellEnd"/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ajustable, compatible con diferentes soluciones de integración de reactivos. 2.12. Lámpara UV, sistema de filtración HEPA y ventilador </w:t>
      </w:r>
      <w:proofErr w:type="spellStart"/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antiaerosol</w:t>
      </w:r>
      <w:proofErr w:type="spellEnd"/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. </w:t>
      </w:r>
    </w:p>
    <w:p w14:paraId="04D1C36C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2.13. Mezcla por oscilación </w:t>
      </w:r>
    </w:p>
    <w:p w14:paraId="610C2A97" w14:textId="2ACAC2FD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2.14. Métodos de esterilización y descontaminación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</w:p>
    <w:p w14:paraId="0E3ADD73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2.15. Interfaz de operación: Pantalla táctil, compatible con ratón externo. </w:t>
      </w:r>
    </w:p>
    <w:p w14:paraId="563939AE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2.16. Programa interno: Capacidad para almacenar más de 500 conjuntos de programas. 2.17. Capacidad para crear, editar, guardar y eliminar programas modelo, Edición de programas flexible y gratuita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</w:p>
    <w:p w14:paraId="78F6D7E1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2.18. Mínimo 3 puertos USB (Tipo A), 1 puerto Ethernet y 1 puerto de depuración DB9 2.19. Wi-Fi inalámbrico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</w:p>
    <w:p w14:paraId="1608EBC2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2.20. Alimentación de entrada: CA 100-240 V, 50 Hz/60 Hz, 500 W 2.21. Protección contra apagado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</w:p>
    <w:p w14:paraId="59129C0C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3. ESTACIÓN AUTOMATIZADA DE PREPARACIÓN DE LIBRERÍAS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:</w:t>
      </w:r>
    </w:p>
    <w:p w14:paraId="2FDE3D27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3.1. Estación de trabajo robotizada diseñada para automatizar por completo preparación de librerías NGS, permitiendo procesar hasta 96 muestras en paralelo. </w:t>
      </w:r>
    </w:p>
    <w:p w14:paraId="6215958B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Que incluye: </w:t>
      </w:r>
    </w:p>
    <w:p w14:paraId="177835BD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3.1.1. Pipeteo en 96 canales con error &lt; 2.5% y control de volúmenes precisos desde 2 µL a 200 µL </w:t>
      </w:r>
    </w:p>
    <w:p w14:paraId="53CCD778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3.1.2. Un (1) brazo robótico 3D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</w:p>
    <w:p w14:paraId="009C69DE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3.1.3. Un (1) módulo de transferencia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</w:p>
    <w:p w14:paraId="6FF703A3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3.1.4. Un (1) módulo de pinza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</w:p>
    <w:p w14:paraId="08E3906F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3.1.5. Módulos funcionales internos: </w:t>
      </w:r>
    </w:p>
    <w:p w14:paraId="49FB9EF2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3.1.5.1. Módulo PCR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</w:p>
    <w:p w14:paraId="5F5E8965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3.1.5.2. Fluorómetro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</w:p>
    <w:p w14:paraId="79CD7E68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3.1.5.3. Módulo de control de temperatura independiente agitador con control de temperatura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</w:p>
    <w:p w14:paraId="0AAC5FEB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3.1.5.4. Soporte magnético </w:t>
      </w:r>
    </w:p>
    <w:p w14:paraId="1E21001E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lastRenderedPageBreak/>
        <w:t xml:space="preserve">3.1.6. Módulos funcionales auxiliares internos: </w:t>
      </w:r>
    </w:p>
    <w:p w14:paraId="0C3EFCA4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3.1.6.1. Sistema de desinfección UV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</w:p>
    <w:p w14:paraId="20FCD943" w14:textId="1F279B36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3.1.6.2. Sistema de purificación de aire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</w:p>
    <w:p w14:paraId="3CB37BA8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3.1.6.3. Módulo de cámara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</w:p>
    <w:p w14:paraId="09A33FF5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3.1.6.4. Software de la estación de trabajo </w:t>
      </w:r>
    </w:p>
    <w:p w14:paraId="6DC9D665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4. EQUIPO ANALIZADOR DE FRAGMENTOS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:</w:t>
      </w:r>
    </w:p>
    <w:p w14:paraId="7FA8BD01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4.1. Identificación automática de tipo de muestra. </w:t>
      </w:r>
    </w:p>
    <w:p w14:paraId="3442430B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4.2. Compatible con tubos de 8 filas y placas de 96 pocillos. </w:t>
      </w:r>
    </w:p>
    <w:p w14:paraId="07CE35A6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4.3. Tecnología de chip microfluídico con gel prefabricado. </w:t>
      </w:r>
    </w:p>
    <w:p w14:paraId="75E80019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4.4. Carriles separados para la electroforesis de muestras para menor riesgo. </w:t>
      </w:r>
    </w:p>
    <w:p w14:paraId="48AC19E3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4.5. Generación de indicadores de rango, concentración e integridad del segmento de muestra. </w:t>
      </w:r>
    </w:p>
    <w:p w14:paraId="32647EB9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4.6. Carga automática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</w:p>
    <w:p w14:paraId="423796C8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4.7. Detección automática de posibles errores: falta de muestra, puntas y chips insuficientes, el número de carriles de chips usados y su vida útil. </w:t>
      </w:r>
    </w:p>
    <w:p w14:paraId="46D542F4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4.8. Sensibilidad hasta 5pg/</w:t>
      </w:r>
      <w:proofErr w:type="spellStart"/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uL</w:t>
      </w:r>
      <w:proofErr w:type="spellEnd"/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para ADN y 5ng/</w:t>
      </w:r>
      <w:proofErr w:type="spellStart"/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ul</w:t>
      </w:r>
      <w:proofErr w:type="spellEnd"/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para ARN. </w:t>
      </w:r>
    </w:p>
    <w:p w14:paraId="20ABA0D4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4.9. Detección de 1 a 16 muestras por chip. </w:t>
      </w:r>
    </w:p>
    <w:p w14:paraId="5464787D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4.10. Detección de 1-96 muestras por corrida </w:t>
      </w:r>
    </w:p>
    <w:p w14:paraId="20F915F4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4.11. Detección de rango de fragmentos de ADN de 25bp a 40Kbp </w:t>
      </w:r>
    </w:p>
    <w:p w14:paraId="25C56CF0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4.12. CPU con 2TB de almacenamiento, RAM 16 GB, Core i7, Monitor de 19 pulgadas, Licencia Windows 11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</w:p>
    <w:p w14:paraId="191F875E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5. PLATAFORMA DE ANÁLISIS BIOINFORMÁTICO CON SERVIDOR LOCAL O EN LA NUBE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:</w:t>
      </w:r>
    </w:p>
    <w:p w14:paraId="261C3B91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5.1. Servidor de informes integrados automatizados para transformar los datos brutos de secuenciación en informes analíticos listos para la toma de decisiones. </w:t>
      </w:r>
    </w:p>
    <w:p w14:paraId="6005E046" w14:textId="77777777" w:rsidR="00AC43AE" w:rsidRDefault="00AC43AE" w:rsidP="00F541A7">
      <w:pPr>
        <w:spacing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5.2. Hardware y Software Integrado: Equipado con </w:t>
      </w:r>
      <w:proofErr w:type="spellStart"/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CPUs</w:t>
      </w:r>
      <w:proofErr w:type="spellEnd"/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multinúcleo, gran memoria RAM, y opciones de GPU para acelerar análisis complejos. </w:t>
      </w:r>
    </w:p>
    <w:p w14:paraId="7E769094" w14:textId="77777777" w:rsidR="00F541A7" w:rsidRDefault="00AC43AE" w:rsidP="00F541A7">
      <w:pPr>
        <w:spacing w:after="0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5.3. Pipelines Automatizados: Herramientas preconfiguradas para control de calidad, alineamiento, ensamblaje y análisis taxonómico, adecuados para metagenómica y amplificación de regiones específicas (</w:t>
      </w:r>
      <w:proofErr w:type="spellStart"/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amplicones</w:t>
      </w:r>
      <w:proofErr w:type="spellEnd"/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). </w:t>
      </w:r>
    </w:p>
    <w:p w14:paraId="7108FC1E" w14:textId="77777777" w:rsidR="00F541A7" w:rsidRDefault="00AC43AE" w:rsidP="00F541A7">
      <w:pPr>
        <w:spacing w:after="0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5.4. Generación Automática de Reportes produce informes en Word y PDF con gráficos, tablas y análisis comparativos, facilitando la interpretación de los resultados. </w:t>
      </w:r>
    </w:p>
    <w:p w14:paraId="348F1752" w14:textId="77777777" w:rsidR="00F541A7" w:rsidRDefault="00AC43AE" w:rsidP="00AC43AE">
      <w:pPr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5.5. Integración LIMS que permita la gestión de información de muestras de forma automática, asegurando trazabilidad y seguridad de los datos. </w:t>
      </w:r>
    </w:p>
    <w:p w14:paraId="17190650" w14:textId="3613E6EE" w:rsidR="00F541A7" w:rsidRDefault="00AC43AE" w:rsidP="00AC43AE">
      <w:pPr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lastRenderedPageBreak/>
        <w:t xml:space="preserve">5.6. Capacidad de base de datos propia que contenga la información sobre ácidos nucleicos. </w:t>
      </w:r>
    </w:p>
    <w:p w14:paraId="3F8D7B01" w14:textId="77777777" w:rsidR="00F541A7" w:rsidRDefault="00AC43AE" w:rsidP="00AC43AE">
      <w:pPr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5.7. Softwares bioinformáticos disponibles, como NIPT, PGT-A y WES </w:t>
      </w:r>
    </w:p>
    <w:p w14:paraId="7DB79848" w14:textId="77777777" w:rsidR="00F541A7" w:rsidRDefault="00AC43AE" w:rsidP="00AC43AE">
      <w:pPr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5.8. Capacidad para vincularse con el secuenciador y almacenar datos de secuenciación. 5.9. Combinación del servidor y el software permite el análisis automatizado y la generación de informes. </w:t>
      </w:r>
    </w:p>
    <w:p w14:paraId="31D1CD32" w14:textId="77777777" w:rsidR="00F541A7" w:rsidRDefault="00AC43AE" w:rsidP="00AC43AE">
      <w:pPr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6. PLATAFORMA DE ANÁLISIS BIOINFORMÁTICO EN LA NUBE</w:t>
      </w:r>
      <w:r w:rsidR="00F541A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:</w:t>
      </w:r>
    </w:p>
    <w:p w14:paraId="6B7CE611" w14:textId="77777777" w:rsidR="00F541A7" w:rsidRDefault="00AC43AE" w:rsidP="00AC43AE">
      <w:pPr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6.1. Capacidad de realizar Análisis secundario y Análisis terciario </w:t>
      </w:r>
    </w:p>
    <w:p w14:paraId="71A18191" w14:textId="77777777" w:rsidR="00F541A7" w:rsidRDefault="00AC43AE" w:rsidP="00AC43AE">
      <w:pPr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6.2. Reporte customizado</w:t>
      </w:r>
      <w:r w:rsidR="00F541A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</w:p>
    <w:p w14:paraId="20C4C15C" w14:textId="77777777" w:rsidR="005F4B2D" w:rsidRDefault="00AC43AE" w:rsidP="00AC43AE">
      <w:pPr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6.3. Almacenamiento de datos por 5 años mínimo. </w:t>
      </w:r>
    </w:p>
    <w:p w14:paraId="2A0FA359" w14:textId="77777777" w:rsidR="005F4B2D" w:rsidRDefault="00AC43AE" w:rsidP="00AC43AE">
      <w:pPr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6.</w:t>
      </w:r>
      <w:r w:rsidR="005F4B2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4</w:t>
      </w: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 Soporte remoto en idioma español</w:t>
      </w:r>
      <w:r w:rsidR="005F4B2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</w:p>
    <w:p w14:paraId="5567044B" w14:textId="77777777" w:rsidR="005F4B2D" w:rsidRDefault="00AC43AE" w:rsidP="00AC43AE">
      <w:pPr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6.</w:t>
      </w:r>
      <w:r w:rsidR="005F4B2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5</w:t>
      </w: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. Más de 140 fuentes de datos </w:t>
      </w:r>
    </w:p>
    <w:p w14:paraId="103D1D9D" w14:textId="77777777" w:rsidR="005F4B2D" w:rsidRDefault="00AC43AE" w:rsidP="00AC43AE">
      <w:pPr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6.</w:t>
      </w:r>
      <w:r w:rsidR="005F4B2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</w:t>
      </w: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. Predicciones de patogenicidad con veredictos explicados </w:t>
      </w:r>
    </w:p>
    <w:p w14:paraId="2561BEF7" w14:textId="2C45ACE4" w:rsidR="00122E72" w:rsidRDefault="00AC43AE" w:rsidP="00AC43AE">
      <w:pPr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6.</w:t>
      </w:r>
      <w:r w:rsidR="00122E7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7</w:t>
      </w: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 Clasificador de línea germinal basado en las directrices de la ACMG, que proporciona predicciones de patogenicidad para todas las variantes (incluidas aquellas que no se han descrito previamente)</w:t>
      </w:r>
      <w:r w:rsidR="00122E7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</w:p>
    <w:p w14:paraId="268D1B51" w14:textId="7B917CA7" w:rsidR="00122E72" w:rsidRDefault="00AC43AE" w:rsidP="00AC43AE">
      <w:pPr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6.</w:t>
      </w:r>
      <w:r w:rsidR="00122E7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</w:t>
      </w: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 Evidencia de apoyo de por qué se han activado o no las reglas de clasificación</w:t>
      </w:r>
      <w:r w:rsidR="00122E7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</w:p>
    <w:p w14:paraId="3A0E5C74" w14:textId="11845C2E" w:rsidR="00122E72" w:rsidRDefault="00AC43AE" w:rsidP="00AC43AE">
      <w:pPr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6.</w:t>
      </w:r>
      <w:r w:rsidR="00122E7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9</w:t>
      </w: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. Integración de información seleccionada para mejorar la clasificación de las variantes VUS. </w:t>
      </w:r>
    </w:p>
    <w:p w14:paraId="66AE8CDD" w14:textId="7A54CC2B" w:rsidR="00122E72" w:rsidRDefault="00AC43AE" w:rsidP="00AC43AE">
      <w:pPr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6.1</w:t>
      </w:r>
      <w:r w:rsidR="00122E7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0</w:t>
      </w: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 Clasificación CNV según las directrices ACMG y la clasificación somática según las directrices AMP</w:t>
      </w:r>
      <w:r w:rsidR="00122E7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</w:p>
    <w:p w14:paraId="4246AFE5" w14:textId="310FD3EF" w:rsidR="00122E72" w:rsidRDefault="00AC43AE" w:rsidP="00AC43AE">
      <w:pPr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6.1</w:t>
      </w:r>
      <w:r w:rsidR="00122E7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1</w:t>
      </w: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. Opción para modificar manualmente la clasificación de variantes y guardar para futuras muestras. </w:t>
      </w:r>
    </w:p>
    <w:p w14:paraId="45000DAF" w14:textId="52754445" w:rsidR="00122E72" w:rsidRDefault="00AC43AE" w:rsidP="00AC43AE">
      <w:pPr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6.1</w:t>
      </w:r>
      <w:r w:rsidR="00122E7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2</w:t>
      </w: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. Capacidad para congelar la anotación de resultados del análisis al momento del procesamiento. </w:t>
      </w:r>
    </w:p>
    <w:p w14:paraId="55DEAE0C" w14:textId="77777777" w:rsidR="00122E72" w:rsidRDefault="00AC43AE" w:rsidP="00AC43AE">
      <w:pPr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6.1</w:t>
      </w:r>
      <w:r w:rsidR="00122E7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3</w:t>
      </w: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. Anotación en vivo de variantes desde el análisis para ver si los nuevos datos han afectado la patogenicidad prevista y realizar </w:t>
      </w:r>
      <w:proofErr w:type="spellStart"/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reanotaciones</w:t>
      </w:r>
      <w:proofErr w:type="spellEnd"/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de muestras completas. </w:t>
      </w:r>
    </w:p>
    <w:p w14:paraId="7B6BB808" w14:textId="77777777" w:rsidR="008B691E" w:rsidRDefault="008B691E" w:rsidP="00AC43AE">
      <w:pPr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</w:p>
    <w:p w14:paraId="5CC5541E" w14:textId="77777777" w:rsidR="008B691E" w:rsidRPr="008B691E" w:rsidRDefault="008B691E" w:rsidP="008B691E">
      <w:pPr>
        <w:spacing w:after="0" w:line="240" w:lineRule="auto"/>
        <w:ind w:left="426"/>
        <w:jc w:val="both"/>
        <w:rPr>
          <w:rFonts w:ascii="Times New Roman" w:hAnsi="Times New Roman"/>
          <w:color w:val="EE0000"/>
          <w:sz w:val="24"/>
          <w:szCs w:val="24"/>
          <w:shd w:val="clear" w:color="auto" w:fill="FFFFFF"/>
        </w:rPr>
      </w:pPr>
      <w:r w:rsidRPr="008B691E">
        <w:rPr>
          <w:rFonts w:ascii="Times New Roman" w:hAnsi="Times New Roman"/>
          <w:color w:val="EE0000"/>
          <w:sz w:val="24"/>
          <w:szCs w:val="24"/>
          <w:shd w:val="clear" w:color="auto" w:fill="FFFFFF"/>
        </w:rPr>
        <w:t>USO EXCLUSIVO PARA INVESTIGACIÓN Y REFERENCIA. ESTE PRODUCTO NO ESTA DESTINADO AL DIAGNÓSTICO, PREVENCIÓN O TRATAMIENTO.</w:t>
      </w:r>
    </w:p>
    <w:p w14:paraId="41CC7C32" w14:textId="77777777" w:rsidR="008B691E" w:rsidRDefault="008B691E" w:rsidP="00AC43AE">
      <w:pPr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</w:p>
    <w:p w14:paraId="44651383" w14:textId="77777777" w:rsidR="00122E72" w:rsidRDefault="00122E72" w:rsidP="00AC43AE">
      <w:pPr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</w:p>
    <w:p w14:paraId="2C8D16A1" w14:textId="5AC7F73F" w:rsidR="00AC43AE" w:rsidRDefault="00AC43AE" w:rsidP="00AC43AE">
      <w:pPr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lastRenderedPageBreak/>
        <w:t>LA UNIDAD EJECUTORA DECIDIRÁ LOS COMPONENTES SEGÚN SU NECESIDAD O REQUERIMIENTO, COMPONENTES: 1. SECUENCIADOR DE CADENAS CORTAS, SALIDA MULTI TIEMPO Y CANALES INDEPENDIENTES, 2. EXTRACTOR DE ÁCIDOS NUCLEICOS AUTOMATIZADO, 3. ESTACIÓN AUTOMATIZADA DE PREPARACIÓN DE LIBRERÍAS, 4. EQUIPO ANALIZADOR DE FRAGMENTOS, 5. PLATAFORMA DE ANÁLISIS BIOINFORMÁTICO CON SERVIDOR LOCAL O EN LA NUBE.</w:t>
      </w:r>
    </w:p>
    <w:p w14:paraId="3BA9E6A5" w14:textId="77777777" w:rsidR="00AC43AE" w:rsidRPr="00F41C00" w:rsidRDefault="00AC43AE" w:rsidP="00AC43AE">
      <w:pPr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</w:p>
    <w:p w14:paraId="00021EB6" w14:textId="77777777" w:rsidR="00AC43AE" w:rsidRDefault="00AC43AE" w:rsidP="00AC43AE">
      <w:pPr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color w:val="212529"/>
          <w:sz w:val="24"/>
          <w:szCs w:val="24"/>
        </w:rPr>
        <w:t xml:space="preserve">     </w:t>
      </w:r>
      <w:r w:rsidRPr="00760232">
        <w:rPr>
          <w:rFonts w:ascii="Times New Roman" w:hAnsi="Times New Roman"/>
          <w:color w:val="212529"/>
          <w:sz w:val="24"/>
          <w:szCs w:val="24"/>
        </w:rPr>
        <w:t>Observaciones para el pliego de cargo:</w:t>
      </w:r>
    </w:p>
    <w:p w14:paraId="48C279CB" w14:textId="77777777" w:rsidR="00122E72" w:rsidRDefault="00AC43AE" w:rsidP="00AC43AE">
      <w:pPr>
        <w:spacing w:after="0"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1. Garantía de tres (3) años mínimo en piezas y mano de obra, a partir de la fecha de aceptación a satisfacción. </w:t>
      </w:r>
    </w:p>
    <w:p w14:paraId="63F97D50" w14:textId="77777777" w:rsidR="00122E72" w:rsidRDefault="00AC43AE" w:rsidP="00AC43AE">
      <w:pPr>
        <w:spacing w:after="0"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2. Dos (2) ejemplares del manual de operación y funcionamiento en español. </w:t>
      </w:r>
    </w:p>
    <w:p w14:paraId="1A302409" w14:textId="77777777" w:rsidR="00122E72" w:rsidRDefault="00AC43AE" w:rsidP="00AC43AE">
      <w:pPr>
        <w:spacing w:after="0"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3. Un (1) ejemplar del manual de servicio técnico, debe incluir lista de partes de diagramas eléctricos y electrónicos. </w:t>
      </w:r>
    </w:p>
    <w:p w14:paraId="7D437BD8" w14:textId="77777777" w:rsidR="00122E72" w:rsidRDefault="00AC43AE" w:rsidP="00AC43AE">
      <w:pPr>
        <w:spacing w:after="0"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4. Presentar programas de mantenimiento preventivo que brindará cada cuatro (4) meses o cuando lo solicite la unidad ejecutora, durante el periodo de garantía. </w:t>
      </w:r>
    </w:p>
    <w:p w14:paraId="298278A9" w14:textId="77777777" w:rsidR="00122E72" w:rsidRDefault="00AC43AE" w:rsidP="00AC43AE">
      <w:pPr>
        <w:spacing w:after="0"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5. Brindar entrenamiento de operación de 16 horas mínimo, al personal que tendrá a su cargo la operación del equipo y acompañamiento en estandarización de procedimientos. 6. Brindar entrenamiento de mantenimiento y reparación de 16 horas mínimo al personal del Servicio de Biomédica de la Institución, a la entrega del equipo y una actualización de entrenamiento previo al vencimiento de la garantía. </w:t>
      </w:r>
    </w:p>
    <w:p w14:paraId="1348D061" w14:textId="77777777" w:rsidR="00122E72" w:rsidRDefault="00AC43AE" w:rsidP="00AC43AE">
      <w:pPr>
        <w:spacing w:after="0"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7. Certificación del fabricante que el equipo es nuevo no reconstruido y de última generación apostillada. </w:t>
      </w:r>
    </w:p>
    <w:p w14:paraId="15D86CD6" w14:textId="77777777" w:rsidR="00122E72" w:rsidRDefault="00AC43AE" w:rsidP="00AC43AE">
      <w:pPr>
        <w:spacing w:after="0"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8. Certificación del fabricante en donde confirme la disponibilidad de piezas de repuesto por un periodo de siete (7) años mínimo. </w:t>
      </w:r>
    </w:p>
    <w:p w14:paraId="21D257EF" w14:textId="77777777" w:rsidR="00122E72" w:rsidRDefault="00AC43AE" w:rsidP="00AC43AE">
      <w:pPr>
        <w:spacing w:after="0"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9. Presentará carta en la cual certifique que el proveedor tiene taller, piezas de repuesto y personal idóneo certificado por el fabricante que le permite brindar mantenimiento preventivo y correctivo. </w:t>
      </w:r>
    </w:p>
    <w:p w14:paraId="711919FC" w14:textId="77777777" w:rsidR="00122E72" w:rsidRDefault="00AC43AE" w:rsidP="00AC43AE">
      <w:pPr>
        <w:spacing w:after="0"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10. Certificación ISO13485 y CE </w:t>
      </w:r>
    </w:p>
    <w:p w14:paraId="0168477C" w14:textId="77777777" w:rsidR="00122E72" w:rsidRDefault="00AC43AE" w:rsidP="00AC43AE">
      <w:pPr>
        <w:spacing w:after="0"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11. El proveedor ofrecerá el soporte técnico y los recursos necesarios para la estandarización de las pruebas que se realizarán en el equipo. </w:t>
      </w:r>
    </w:p>
    <w:p w14:paraId="27AA2DB0" w14:textId="77777777" w:rsidR="00122E72" w:rsidRDefault="00AC43AE" w:rsidP="00AC43AE">
      <w:pPr>
        <w:spacing w:after="0"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12. La empresa se compromete a realizar la adecuación de infraestructura y eléctrica en la Institución de ser necesario. </w:t>
      </w:r>
    </w:p>
    <w:p w14:paraId="20CA36AD" w14:textId="0DED17EB" w:rsidR="00122E72" w:rsidRDefault="00AC43AE" w:rsidP="00AC43AE">
      <w:pPr>
        <w:spacing w:after="0"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13. Soporte Técnico de Aplicaciones e Ingeniería</w:t>
      </w:r>
      <w:r w:rsidR="00122E7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</w:p>
    <w:p w14:paraId="09EAC0A4" w14:textId="77777777" w:rsidR="00122E72" w:rsidRDefault="00AC43AE" w:rsidP="00AC43AE">
      <w:pPr>
        <w:spacing w:after="0"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14. Certificación de experiencia en Implementación de proyectos de NGS y en campo por más de 15 años en el campo molecular y NGS. </w:t>
      </w:r>
    </w:p>
    <w:p w14:paraId="38797E44" w14:textId="77777777" w:rsidR="00122E72" w:rsidRDefault="00AC43AE" w:rsidP="00AC43AE">
      <w:pPr>
        <w:spacing w:after="0"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15. Certificación de experiencia de más 15 años de Servicio de ingeniería biomédica. </w:t>
      </w:r>
    </w:p>
    <w:p w14:paraId="68CAFD26" w14:textId="77777777" w:rsidR="00122E72" w:rsidRDefault="00AC43AE" w:rsidP="00AC43AE">
      <w:pPr>
        <w:spacing w:after="0"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16. Certificado de entrenamiento en fábrica de los Ingenieros Biomédicos encargados de los equipos apostillado. </w:t>
      </w:r>
    </w:p>
    <w:p w14:paraId="1D36FB5E" w14:textId="77777777" w:rsidR="00122E72" w:rsidRDefault="00AC43AE" w:rsidP="00AC43AE">
      <w:pPr>
        <w:spacing w:after="0"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17. Certificación de Profesional Idóneo responsable de proyecto por la SPIA. </w:t>
      </w:r>
    </w:p>
    <w:p w14:paraId="3D93FCBE" w14:textId="77777777" w:rsidR="00122E72" w:rsidRDefault="00AC43AE" w:rsidP="00AC43AE">
      <w:pPr>
        <w:spacing w:after="0"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18. Certificación de Ingeniero o Técnico en Redes y Sistemas. </w:t>
      </w:r>
    </w:p>
    <w:p w14:paraId="36FEB3F6" w14:textId="77777777" w:rsidR="00122E72" w:rsidRDefault="00AC43AE" w:rsidP="00AC43AE">
      <w:pPr>
        <w:spacing w:after="0"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19. Soporte remoto continúo de fábrica y 24/7 e in situ por ingenieros locales </w:t>
      </w:r>
    </w:p>
    <w:p w14:paraId="60CD91B6" w14:textId="77777777" w:rsidR="00122E72" w:rsidRDefault="00AC43AE" w:rsidP="00AC43AE">
      <w:pPr>
        <w:spacing w:after="0"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20. Un (1) UPS 6 KVA</w:t>
      </w:r>
      <w:r w:rsidR="00122E7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</w:p>
    <w:p w14:paraId="65AF7830" w14:textId="77777777" w:rsidR="00122E72" w:rsidRDefault="00AC43AE" w:rsidP="00AC43AE">
      <w:pPr>
        <w:spacing w:after="0"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21. Reactivos de inicio para un mínimo de 288 muestras del panel de interés o a requerimiento de la unidad que incluye: </w:t>
      </w:r>
    </w:p>
    <w:p w14:paraId="6CFE9CA6" w14:textId="77777777" w:rsidR="00122E72" w:rsidRDefault="00AC43AE" w:rsidP="00AC43AE">
      <w:pPr>
        <w:spacing w:after="0"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lastRenderedPageBreak/>
        <w:t>21.1. Todos los reactivos necesarios para el flujo de trabajo completo incluyendo reactivos e insumos para los equipos complementarios de extracción, preparación de librería, fluorómetro, analizador de fragmentos y secuenciación incluyendo cartuchos y celdas de flujo.</w:t>
      </w:r>
    </w:p>
    <w:p w14:paraId="5A2B4709" w14:textId="401673C2" w:rsidR="008B691E" w:rsidRPr="00760232" w:rsidRDefault="008B691E" w:rsidP="008B691E">
      <w:pPr>
        <w:spacing w:after="0" w:line="240" w:lineRule="auto"/>
        <w:ind w:left="567" w:hanging="425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 </w:t>
      </w:r>
      <w:r w:rsidR="00122E7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22. </w:t>
      </w:r>
      <w:r w:rsidR="00AC43AE" w:rsidRPr="008B691E">
        <w:rPr>
          <w:rFonts w:ascii="Times New Roman" w:hAnsi="Times New Roman"/>
          <w:strike/>
          <w:color w:val="212529"/>
          <w:sz w:val="24"/>
          <w:szCs w:val="24"/>
          <w:shd w:val="clear" w:color="auto" w:fill="FFFFFF"/>
        </w:rPr>
        <w:t>PARA USO EXCLUSIVO DE INVESTIGACIÓN</w:t>
      </w:r>
      <w:r w:rsidR="00AC43AE" w:rsidRPr="00D760E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  <w:r w:rsidRPr="008B691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 w:rsidRPr="008B691E">
        <w:rPr>
          <w:rFonts w:ascii="Times New Roman" w:hAnsi="Times New Roman"/>
          <w:color w:val="EE0000"/>
          <w:sz w:val="24"/>
          <w:szCs w:val="24"/>
          <w:shd w:val="clear" w:color="auto" w:fill="FFFFFF"/>
        </w:rPr>
        <w:t>Uso exclusivo para Investigación y referencia. Este producto no está destinado al diagnóstico, prevención o tratamiento.</w:t>
      </w:r>
    </w:p>
    <w:p w14:paraId="6C60ECA1" w14:textId="49511AE1" w:rsidR="00AC43AE" w:rsidRPr="00760232" w:rsidRDefault="00AC43AE" w:rsidP="00AC43AE">
      <w:pPr>
        <w:spacing w:after="0"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</w:p>
    <w:p w14:paraId="5D62C563" w14:textId="77777777" w:rsidR="00AC43AE" w:rsidRPr="00A564FE" w:rsidRDefault="00AC43AE" w:rsidP="00AC43AE">
      <w:pPr>
        <w:pStyle w:val="Prrafodelista"/>
        <w:spacing w:line="278" w:lineRule="auto"/>
        <w:ind w:left="0"/>
        <w:jc w:val="both"/>
        <w:rPr>
          <w:rFonts w:ascii="Times New Roman" w:hAnsi="Times New Roman"/>
          <w:lang w:val="es-MX"/>
        </w:rPr>
      </w:pPr>
    </w:p>
    <w:p w14:paraId="6A52E2BE" w14:textId="77777777" w:rsidR="008B691E" w:rsidRPr="000C666B" w:rsidRDefault="008B691E" w:rsidP="008B691E">
      <w:pPr>
        <w:spacing w:after="0" w:line="240" w:lineRule="auto"/>
        <w:ind w:left="426"/>
        <w:jc w:val="both"/>
        <w:rPr>
          <w:rFonts w:ascii="Times New Roman" w:hAnsi="Times New Roman"/>
          <w:bCs/>
          <w:color w:val="212529"/>
          <w:sz w:val="24"/>
          <w:szCs w:val="24"/>
        </w:rPr>
      </w:pPr>
      <w:r w:rsidRPr="000C666B">
        <w:rPr>
          <w:rFonts w:ascii="Times New Roman" w:hAnsi="Times New Roman"/>
          <w:bCs/>
          <w:color w:val="212529"/>
          <w:sz w:val="24"/>
          <w:szCs w:val="24"/>
        </w:rPr>
        <w:t xml:space="preserve">Tipo de producto: Material e Insumos de Laboratorio. </w:t>
      </w:r>
    </w:p>
    <w:p w14:paraId="08D17196" w14:textId="77777777" w:rsidR="008B691E" w:rsidRPr="00177A76" w:rsidRDefault="008B691E" w:rsidP="008B691E">
      <w:p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177A76">
        <w:rPr>
          <w:rFonts w:ascii="Times New Roman" w:hAnsi="Times New Roman"/>
          <w:bCs/>
          <w:sz w:val="24"/>
          <w:szCs w:val="24"/>
        </w:rPr>
        <w:t xml:space="preserve">Subgrupo: </w:t>
      </w:r>
      <w:r>
        <w:rPr>
          <w:rFonts w:ascii="Times New Roman" w:hAnsi="Times New Roman"/>
          <w:bCs/>
          <w:sz w:val="24"/>
          <w:szCs w:val="24"/>
        </w:rPr>
        <w:t>INVESTIGACIÓN Y REFERENCIA</w:t>
      </w:r>
    </w:p>
    <w:p w14:paraId="65FF43CF" w14:textId="77777777" w:rsidR="008B691E" w:rsidRPr="00177A76" w:rsidRDefault="008B691E" w:rsidP="008B691E">
      <w:p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177A76">
        <w:rPr>
          <w:rFonts w:ascii="Times New Roman" w:hAnsi="Times New Roman"/>
          <w:bCs/>
          <w:sz w:val="24"/>
          <w:szCs w:val="24"/>
        </w:rPr>
        <w:t>Nivel de atención: 3</w:t>
      </w:r>
    </w:p>
    <w:p w14:paraId="0CD93E82" w14:textId="77777777" w:rsidR="008B691E" w:rsidRPr="00177A76" w:rsidRDefault="008B691E" w:rsidP="008B691E">
      <w:p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177A76">
        <w:rPr>
          <w:rFonts w:ascii="Times New Roman" w:hAnsi="Times New Roman"/>
          <w:bCs/>
          <w:sz w:val="24"/>
          <w:szCs w:val="24"/>
        </w:rPr>
        <w:t xml:space="preserve">Registro sanitario: </w:t>
      </w:r>
      <w:r>
        <w:rPr>
          <w:rFonts w:ascii="Times New Roman" w:hAnsi="Times New Roman"/>
          <w:bCs/>
          <w:sz w:val="24"/>
          <w:szCs w:val="24"/>
        </w:rPr>
        <w:t>NO</w:t>
      </w:r>
    </w:p>
    <w:p w14:paraId="79D01A5E" w14:textId="7D080109" w:rsidR="008B691E" w:rsidRDefault="008B691E" w:rsidP="008B691E">
      <w:pPr>
        <w:spacing w:after="0" w:line="240" w:lineRule="auto"/>
        <w:ind w:left="426"/>
        <w:jc w:val="both"/>
        <w:rPr>
          <w:rFonts w:ascii="Times New Roman" w:hAnsi="Times New Roman"/>
          <w:bCs/>
          <w:color w:val="212529"/>
          <w:sz w:val="24"/>
          <w:szCs w:val="24"/>
        </w:rPr>
      </w:pPr>
      <w:r w:rsidRPr="000C666B">
        <w:rPr>
          <w:rFonts w:ascii="Times New Roman" w:hAnsi="Times New Roman"/>
          <w:bCs/>
          <w:color w:val="212529"/>
          <w:sz w:val="24"/>
          <w:szCs w:val="24"/>
        </w:rPr>
        <w:t xml:space="preserve">Presentación: </w:t>
      </w:r>
      <w:r>
        <w:rPr>
          <w:rFonts w:ascii="Times New Roman" w:hAnsi="Times New Roman"/>
          <w:bCs/>
          <w:color w:val="212529"/>
          <w:sz w:val="24"/>
          <w:szCs w:val="24"/>
        </w:rPr>
        <w:t>Por unidad</w:t>
      </w:r>
    </w:p>
    <w:p w14:paraId="0014BC91" w14:textId="77777777" w:rsidR="008B691E" w:rsidRPr="000C666B" w:rsidRDefault="008B691E" w:rsidP="008B691E">
      <w:pPr>
        <w:spacing w:after="0" w:line="240" w:lineRule="auto"/>
        <w:ind w:left="426"/>
        <w:jc w:val="both"/>
        <w:rPr>
          <w:rFonts w:ascii="Times New Roman" w:hAnsi="Times New Roman"/>
          <w:bCs/>
          <w:color w:val="212529"/>
          <w:sz w:val="24"/>
          <w:szCs w:val="24"/>
        </w:rPr>
      </w:pPr>
      <w:r w:rsidRPr="000C666B">
        <w:rPr>
          <w:rFonts w:ascii="Times New Roman" w:hAnsi="Times New Roman"/>
          <w:bCs/>
          <w:color w:val="212529"/>
          <w:sz w:val="24"/>
          <w:szCs w:val="24"/>
        </w:rPr>
        <w:t>Reactivo:</w:t>
      </w:r>
      <w:r w:rsidRPr="00760232">
        <w:rPr>
          <w:rFonts w:ascii="Times New Roman" w:hAnsi="Times New Roman"/>
          <w:bCs/>
          <w:color w:val="212529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212529"/>
          <w:sz w:val="24"/>
          <w:szCs w:val="24"/>
        </w:rPr>
        <w:t>Si</w:t>
      </w:r>
    </w:p>
    <w:p w14:paraId="44E58D92" w14:textId="77777777" w:rsidR="00CD1CA2" w:rsidRDefault="00CD1CA2"/>
    <w:sectPr w:rsidR="00CD1CA2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8A880" w14:textId="77777777" w:rsidR="001940A6" w:rsidRDefault="001940A6" w:rsidP="008B691E">
      <w:pPr>
        <w:spacing w:after="0" w:line="240" w:lineRule="auto"/>
      </w:pPr>
      <w:r>
        <w:separator/>
      </w:r>
    </w:p>
  </w:endnote>
  <w:endnote w:type="continuationSeparator" w:id="0">
    <w:p w14:paraId="49CF46B2" w14:textId="77777777" w:rsidR="001940A6" w:rsidRDefault="001940A6" w:rsidP="008B6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64FB1" w14:textId="00977802" w:rsidR="008B691E" w:rsidRDefault="008B691E" w:rsidP="008B691E">
    <w:pPr>
      <w:pStyle w:val="Piedepgina"/>
    </w:pPr>
    <w:r>
      <w:t>LAB/</w:t>
    </w:r>
    <w:r w:rsidR="00D31596">
      <w:t>HN</w:t>
    </w:r>
    <w:r>
      <w:t xml:space="preserve">/Homologación 10-02-26 / 9:00 </w:t>
    </w:r>
    <w:proofErr w:type="spellStart"/>
    <w:r>
      <w:t>n.r</w:t>
    </w:r>
    <w:proofErr w:type="spellEnd"/>
    <w:r>
      <w:t>.</w:t>
    </w:r>
  </w:p>
  <w:p w14:paraId="4AA8952F" w14:textId="77777777" w:rsidR="008B691E" w:rsidRDefault="008B69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7DECC" w14:textId="77777777" w:rsidR="001940A6" w:rsidRDefault="001940A6" w:rsidP="008B691E">
      <w:pPr>
        <w:spacing w:after="0" w:line="240" w:lineRule="auto"/>
      </w:pPr>
      <w:r>
        <w:separator/>
      </w:r>
    </w:p>
  </w:footnote>
  <w:footnote w:type="continuationSeparator" w:id="0">
    <w:p w14:paraId="5B3A81D6" w14:textId="77777777" w:rsidR="001940A6" w:rsidRDefault="001940A6" w:rsidP="008B6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D518F"/>
    <w:multiLevelType w:val="hybridMultilevel"/>
    <w:tmpl w:val="526EBBD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5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plc="FFFFFFFF">
      <w:start w:val="5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>
      <w:start w:val="1"/>
      <w:numFmt w:val="decimal"/>
      <w:lvlText w:val="%6."/>
      <w:lvlJc w:val="left"/>
      <w:pPr>
        <w:ind w:left="4500" w:hanging="360"/>
      </w:pPr>
      <w:rPr>
        <w:rFonts w:ascii="Times New Roman" w:eastAsia="Times New Roman" w:hAnsi="Times New Roman"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64127"/>
    <w:multiLevelType w:val="hybridMultilevel"/>
    <w:tmpl w:val="EA488390"/>
    <w:lvl w:ilvl="0" w:tplc="1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F9708D4"/>
    <w:multiLevelType w:val="hybridMultilevel"/>
    <w:tmpl w:val="13CCDB04"/>
    <w:lvl w:ilvl="0" w:tplc="1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7C46758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2" w:tplc="180A0017">
      <w:start w:val="1"/>
      <w:numFmt w:val="lowerLetter"/>
      <w:lvlText w:val="%3)"/>
      <w:lvlJc w:val="left"/>
      <w:pPr>
        <w:ind w:left="2340" w:hanging="360"/>
      </w:pPr>
    </w:lvl>
    <w:lvl w:ilvl="3" w:tplc="97B688E8">
      <w:start w:val="5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plc="47CE3B34">
      <w:start w:val="5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6E88D5F4">
      <w:start w:val="1"/>
      <w:numFmt w:val="decimal"/>
      <w:lvlText w:val="%6."/>
      <w:lvlJc w:val="left"/>
      <w:pPr>
        <w:ind w:left="4500" w:hanging="360"/>
      </w:pPr>
      <w:rPr>
        <w:rFonts w:ascii="Times New Roman" w:eastAsia="Times New Roman" w:hAnsi="Times New Roman" w:cs="Times New Roman"/>
      </w:r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591740">
    <w:abstractNumId w:val="1"/>
  </w:num>
  <w:num w:numId="2" w16cid:durableId="988939531">
    <w:abstractNumId w:val="0"/>
  </w:num>
  <w:num w:numId="3" w16cid:durableId="416631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AE"/>
    <w:rsid w:val="00122E72"/>
    <w:rsid w:val="001940A6"/>
    <w:rsid w:val="001A3B0C"/>
    <w:rsid w:val="002B13EA"/>
    <w:rsid w:val="00417F3F"/>
    <w:rsid w:val="005F4B2D"/>
    <w:rsid w:val="00697C2D"/>
    <w:rsid w:val="00874A65"/>
    <w:rsid w:val="008B691E"/>
    <w:rsid w:val="00AC231B"/>
    <w:rsid w:val="00AC43AE"/>
    <w:rsid w:val="00C24D19"/>
    <w:rsid w:val="00CD1CA2"/>
    <w:rsid w:val="00D31596"/>
    <w:rsid w:val="00F541A7"/>
    <w:rsid w:val="00FB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4369E5"/>
  <w15:chartTrackingRefBased/>
  <w15:docId w15:val="{1B117C8F-6189-4F8E-8679-DC3CE29F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3AE"/>
    <w:rPr>
      <w:rFonts w:ascii="Calibri" w:eastAsia="Times New Roman" w:hAnsi="Calibri" w:cs="Times New Roman"/>
      <w:kern w:val="0"/>
      <w:lang w:eastAsia="es-P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C4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4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4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4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4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4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4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4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4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4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4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4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43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43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43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43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43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43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4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4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4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4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4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43AE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AC43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43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4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43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43AE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locked/>
    <w:rsid w:val="00AC43AE"/>
  </w:style>
  <w:style w:type="paragraph" w:styleId="Encabezado">
    <w:name w:val="header"/>
    <w:basedOn w:val="Normal"/>
    <w:link w:val="EncabezadoCar"/>
    <w:uiPriority w:val="99"/>
    <w:unhideWhenUsed/>
    <w:rsid w:val="008B69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91E"/>
    <w:rPr>
      <w:rFonts w:ascii="Calibri" w:eastAsia="Times New Roman" w:hAnsi="Calibri" w:cs="Times New Roman"/>
      <w:kern w:val="0"/>
      <w:lang w:eastAsia="es-PA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B69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91E"/>
    <w:rPr>
      <w:rFonts w:ascii="Calibri" w:eastAsia="Times New Roman" w:hAnsi="Calibri" w:cs="Times New Roman"/>
      <w:kern w:val="0"/>
      <w:lang w:eastAsia="es-P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1572</Words>
  <Characters>8947</Characters>
  <Application>Microsoft Office Word</Application>
  <DocSecurity>0</DocSecurity>
  <Lines>192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Nairoby Ruiz</dc:creator>
  <cp:keywords/>
  <dc:description/>
  <cp:lastModifiedBy>Yakira Araúz</cp:lastModifiedBy>
  <cp:revision>2</cp:revision>
  <cp:lastPrinted>2025-08-19T19:31:00Z</cp:lastPrinted>
  <dcterms:created xsi:type="dcterms:W3CDTF">2025-10-24T14:08:00Z</dcterms:created>
  <dcterms:modified xsi:type="dcterms:W3CDTF">2025-10-24T14:08:00Z</dcterms:modified>
</cp:coreProperties>
</file>