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2150" w14:textId="28B607BC" w:rsid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037">
        <w:rPr>
          <w:rFonts w:ascii="Times New Roman" w:hAnsi="Times New Roman" w:cs="Times New Roman"/>
          <w:sz w:val="24"/>
          <w:szCs w:val="24"/>
        </w:rPr>
        <w:t>CARDIÓMETRO NO INVASIVO</w:t>
      </w:r>
      <w:r>
        <w:rPr>
          <w:rFonts w:ascii="Times New Roman" w:hAnsi="Times New Roman" w:cs="Times New Roman"/>
          <w:sz w:val="24"/>
          <w:szCs w:val="24"/>
        </w:rPr>
        <w:t xml:space="preserve"> (formulario 23381).</w:t>
      </w:r>
    </w:p>
    <w:p w14:paraId="429BB0CB" w14:textId="77777777" w:rsidR="007E0037" w:rsidRP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7E283" w14:textId="6A5390D5" w:rsid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>Descripción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E0037">
        <w:rPr>
          <w:rFonts w:ascii="Times New Roman" w:hAnsi="Times New Roman" w:cs="Times New Roman"/>
          <w:sz w:val="24"/>
          <w:szCs w:val="24"/>
        </w:rPr>
        <w:tab/>
        <w:t>PARA LA MEDICIÓN CONTÍNUA DE PARÁMETROS HEMODINÁMICOS EN ADULTOS, NIÑOS Y RECIEN NACIDOS CON FINES DE DIAGNOSTICO Y SEGUIMIENTO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4F83CB" w14:textId="77777777" w:rsidR="007E0037" w:rsidRP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7FF22" w14:textId="77777777" w:rsid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E0037">
        <w:rPr>
          <w:rFonts w:ascii="Times New Roman" w:hAnsi="Times New Roman" w:cs="Times New Roman"/>
          <w:sz w:val="24"/>
          <w:szCs w:val="24"/>
        </w:rPr>
        <w:tab/>
      </w:r>
    </w:p>
    <w:p w14:paraId="0AA7CF22" w14:textId="77777777" w:rsid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Con los siguientes parámetros: </w:t>
      </w:r>
    </w:p>
    <w:p w14:paraId="064C95E9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Flujo Sanguíneo SV/SI Volumen Sistólico / Índice Sistólico FC Frecuencia Cardíaca CO/CI Gasto Cardíaco /Índice Cardíaco </w:t>
      </w:r>
    </w:p>
    <w:p w14:paraId="4264C058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Sistema Vascular SVR /SVRI Resistencia Vascular Sistémica/ Índice SVR Índice basado en la entrada de MAP y CVP </w:t>
      </w:r>
    </w:p>
    <w:p w14:paraId="0E8033FC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Contractilidad Índice de Contractilidad Variación del Índice de Contractilidad STR Relación de Tiempo Sistólica (PEP/LVET) CPI Índice de Rendimiento Cardíaco </w:t>
      </w:r>
    </w:p>
    <w:p w14:paraId="1265336E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Estado de Fluidos TFC Contenido de Líquido Torácico SVV Variación del Volumen Sistólico FTC Tiempo de Flujo Corregido </w:t>
      </w:r>
    </w:p>
    <w:p w14:paraId="259202FB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Estado de Oxígeno DO2 / DO2I Entrega de Oxígeno / Índice DO2 basado en la entrada de hemoglobina y SpO2 </w:t>
      </w:r>
    </w:p>
    <w:p w14:paraId="4B82CC8B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Permita mediciones mediante 4 parches adhesivos a pacientes Adultos, pediátricos y recién nacidos. </w:t>
      </w:r>
    </w:p>
    <w:p w14:paraId="58E72625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Vista en tiempo real y revisión retrospectiva de los datos clínicos medidos presentados en diferentes formas, como valores numéricos, formas de onda, gráficos de barras, gráficos de tendencias. </w:t>
      </w:r>
    </w:p>
    <w:p w14:paraId="0A0A878C" w14:textId="50FEC2A0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Capacidad para agregar marcadores a los datos clínicos registrados en puntos de interés específicos. </w:t>
      </w:r>
    </w:p>
    <w:p w14:paraId="4ECAE36C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Capacidad para crear y guardar informes de estado hemodinámico que representen una instantánea de la condición hemodinámica momentánea del paciente. </w:t>
      </w:r>
    </w:p>
    <w:p w14:paraId="7B0414CB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037">
        <w:rPr>
          <w:rFonts w:ascii="Times New Roman" w:hAnsi="Times New Roman" w:cs="Times New Roman"/>
          <w:sz w:val="24"/>
          <w:szCs w:val="24"/>
        </w:rPr>
        <w:t>Medición latido</w:t>
      </w:r>
      <w:proofErr w:type="gramEnd"/>
      <w:r w:rsidRPr="007E0037">
        <w:rPr>
          <w:rFonts w:ascii="Times New Roman" w:hAnsi="Times New Roman" w:cs="Times New Roman"/>
          <w:sz w:val="24"/>
          <w:szCs w:val="24"/>
        </w:rPr>
        <w:t xml:space="preserve"> a latido y auto calibración. </w:t>
      </w:r>
    </w:p>
    <w:p w14:paraId="107EF6AB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Capacidad para crear y administrar perfiles de pacientes con datos personales básicos (altura, peso, edad, sexo), además de complementar datos externos opcionales como presión arterial, concentración de hemoglobina y saturación de oxígeno. </w:t>
      </w:r>
    </w:p>
    <w:p w14:paraId="0B9C2889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Capacidad de Exportación / Importación de datos clínicos hacia / desde una red. </w:t>
      </w:r>
    </w:p>
    <w:p w14:paraId="6CE812F5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 Visualización de las siguientes pantallas de medición: Formas de ondas de señal, Combinación de formas de onda, tendencias e informes. </w:t>
      </w:r>
    </w:p>
    <w:p w14:paraId="3B15CA80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Con capacidad de incorporar el método de </w:t>
      </w:r>
      <w:proofErr w:type="spellStart"/>
      <w:r w:rsidRPr="007E0037">
        <w:rPr>
          <w:rFonts w:ascii="Times New Roman" w:hAnsi="Times New Roman" w:cs="Times New Roman"/>
          <w:sz w:val="24"/>
          <w:szCs w:val="24"/>
        </w:rPr>
        <w:t>Cardiometría</w:t>
      </w:r>
      <w:proofErr w:type="spellEnd"/>
      <w:r w:rsidRPr="007E0037">
        <w:rPr>
          <w:rFonts w:ascii="Times New Roman" w:hAnsi="Times New Roman" w:cs="Times New Roman"/>
          <w:sz w:val="24"/>
          <w:szCs w:val="24"/>
        </w:rPr>
        <w:t xml:space="preserve"> Eléctrica midiendo los cambios en la bioimpedancia eléctrica torácica (TEB). Este método se basa en el modelo de "</w:t>
      </w:r>
      <w:proofErr w:type="spellStart"/>
      <w:r w:rsidRPr="007E0037">
        <w:rPr>
          <w:rFonts w:ascii="Times New Roman" w:hAnsi="Times New Roman" w:cs="Times New Roman"/>
          <w:sz w:val="24"/>
          <w:szCs w:val="24"/>
        </w:rPr>
        <w:t>velocimetría</w:t>
      </w:r>
      <w:proofErr w:type="spellEnd"/>
      <w:r w:rsidRPr="007E0037">
        <w:rPr>
          <w:rFonts w:ascii="Times New Roman" w:hAnsi="Times New Roman" w:cs="Times New Roman"/>
          <w:sz w:val="24"/>
          <w:szCs w:val="24"/>
        </w:rPr>
        <w:t xml:space="preserve"> eléctrica" (EV), que se basa en el hecho de que la conductividad de la sangre en la aorta cambia durante el ciclo cardíaco. </w:t>
      </w:r>
    </w:p>
    <w:p w14:paraId="203CB837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Con conectividad a cualquier PC, portátil o tableta Windows </w:t>
      </w:r>
      <w:proofErr w:type="spellStart"/>
      <w:r w:rsidRPr="007E003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E0037">
        <w:rPr>
          <w:rFonts w:ascii="Times New Roman" w:hAnsi="Times New Roman" w:cs="Times New Roman"/>
          <w:sz w:val="24"/>
          <w:szCs w:val="24"/>
        </w:rPr>
        <w:t>-in-</w:t>
      </w:r>
      <w:proofErr w:type="spellStart"/>
      <w:r w:rsidRPr="007E003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E0037">
        <w:rPr>
          <w:rFonts w:ascii="Times New Roman" w:hAnsi="Times New Roman" w:cs="Times New Roman"/>
          <w:sz w:val="24"/>
          <w:szCs w:val="24"/>
        </w:rPr>
        <w:t xml:space="preserve"> con pantalla táctil, compatible con el sistema operativo Windows 10 en adelante. </w:t>
      </w:r>
    </w:p>
    <w:p w14:paraId="08AC7D32" w14:textId="77777777" w:rsidR="007E0037" w:rsidRDefault="007E0037" w:rsidP="007E003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44B6FFDD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Batería recargable de respaldo para 240 min. de funcionamiento. </w:t>
      </w:r>
    </w:p>
    <w:p w14:paraId="21943581" w14:textId="77777777" w:rsidR="007E0037" w:rsidRDefault="007E0037" w:rsidP="007E003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Alimentación eléctrica: entre 100-240 V/y 50-60 Hz. </w:t>
      </w:r>
    </w:p>
    <w:p w14:paraId="3E309829" w14:textId="77777777" w:rsidR="007E0037" w:rsidRDefault="007E0037" w:rsidP="007E0037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97971B5" w14:textId="76F7A549" w:rsidR="007E0037" w:rsidRPr="007E0037" w:rsidRDefault="007E0037" w:rsidP="007E00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consumibles: </w:t>
      </w:r>
    </w:p>
    <w:p w14:paraId="3C2174B4" w14:textId="2388D3C5" w:rsidR="007E0037" w:rsidRDefault="007E0037" w:rsidP="007E003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>Sensores adhesivos desechables de 30mm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0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38113" w14:textId="7F601169" w:rsidR="007E0037" w:rsidRDefault="007E0037" w:rsidP="007E003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>Sensores adhesivos desechables de 45mm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0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0FA56" w14:textId="457D9F96" w:rsidR="007E0037" w:rsidRDefault="007E0037" w:rsidP="007E003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>Sensores adhesivos neonatales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0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0606" w14:textId="26207036" w:rsidR="007E0037" w:rsidRPr="007E0037" w:rsidRDefault="007E0037" w:rsidP="007E003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 xml:space="preserve">Electrodos de plata y sales de plata (Ag/ </w:t>
      </w:r>
      <w:proofErr w:type="spellStart"/>
      <w:r w:rsidRPr="007E0037">
        <w:rPr>
          <w:rFonts w:ascii="Times New Roman" w:hAnsi="Times New Roman" w:cs="Times New Roman"/>
          <w:sz w:val="24"/>
          <w:szCs w:val="24"/>
        </w:rPr>
        <w:t>AgCI</w:t>
      </w:r>
      <w:proofErr w:type="spellEnd"/>
      <w:r w:rsidRPr="007E00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E8B35" w14:textId="77777777" w:rsidR="007E0037" w:rsidRP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61697" w14:textId="0E697DE8" w:rsidR="007E0037" w:rsidRDefault="007E0037" w:rsidP="007E0037">
      <w:pPr>
        <w:jc w:val="both"/>
        <w:rPr>
          <w:rFonts w:ascii="Times New Roman" w:hAnsi="Times New Roman" w:cs="Times New Roman"/>
          <w:sz w:val="24"/>
          <w:szCs w:val="24"/>
        </w:rPr>
      </w:pPr>
      <w:r w:rsidRPr="007E0037">
        <w:rPr>
          <w:rFonts w:ascii="Times New Roman" w:hAnsi="Times New Roman" w:cs="Times New Roman"/>
          <w:sz w:val="24"/>
          <w:szCs w:val="24"/>
        </w:rPr>
        <w:t>Observaciones</w:t>
      </w:r>
      <w:r w:rsidR="00FE2054">
        <w:rPr>
          <w:rFonts w:ascii="Times New Roman" w:hAnsi="Times New Roman" w:cs="Times New Roman"/>
          <w:sz w:val="24"/>
          <w:szCs w:val="24"/>
        </w:rPr>
        <w:t>:</w:t>
      </w:r>
    </w:p>
    <w:p w14:paraId="7671A7E4" w14:textId="77777777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1.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Garantía de tres (3) años mínimo en piezas y mano de obra, a partir de la fecha de instalación y aceptación a satisfacción. </w:t>
      </w:r>
    </w:p>
    <w:p w14:paraId="0142D223" w14:textId="77777777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2.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>Un (1) ejemplar del manual de operación y funcionamiento en español.</w:t>
      </w:r>
    </w:p>
    <w:p w14:paraId="7B844960" w14:textId="77777777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3.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Un (1) ejemplar del manual de servicio técnico, debe incluir lista de partes, diagramas eléctricos y electrónicos. </w:t>
      </w:r>
    </w:p>
    <w:p w14:paraId="1CFFDEB7" w14:textId="77777777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4.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Presentar programa de mantenimiento preventivo que brindará cada seis (6) meses o cuando lo solicite la unidad ejecutora, durante el periodo de garantía. </w:t>
      </w:r>
    </w:p>
    <w:p w14:paraId="1F0FD4A5" w14:textId="77777777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5.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Brindar entrenamiento de operación de ocho (8) horas mínimo, programadas, al personal usuario del servicio que tendrá a cargo la operación del equipo. </w:t>
      </w:r>
    </w:p>
    <w:p w14:paraId="3D5D8054" w14:textId="77777777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6.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 xml:space="preserve">Brindar entrenamiento de mantenimiento y reparación de ocho (8) horas mínimo al personal de Biomédica que tendrá a su cargo el mantenimiento y reparación del equipo después de la garantía. </w:t>
      </w:r>
    </w:p>
    <w:p w14:paraId="4710EDCF" w14:textId="77777777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7.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>Certificación del fabricante en donde confirmen la disponibilidad de piezas de repuestos por un periodo de 7 años mínimo.</w:t>
      </w:r>
    </w:p>
    <w:p w14:paraId="7CA13EF9" w14:textId="6F7FE920" w:rsidR="00FE2054" w:rsidRPr="00B142CB" w:rsidRDefault="00FE2054" w:rsidP="00B142CB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142CB">
        <w:rPr>
          <w:rFonts w:ascii="Times New Roman" w:hAnsi="Times New Roman" w:cs="Times New Roman"/>
          <w:color w:val="EE0000"/>
          <w:sz w:val="24"/>
          <w:szCs w:val="24"/>
        </w:rPr>
        <w:t>8.</w:t>
      </w:r>
      <w:r w:rsidRPr="00B142CB">
        <w:rPr>
          <w:rFonts w:ascii="Times New Roman" w:hAnsi="Times New Roman" w:cs="Times New Roman"/>
          <w:color w:val="EE0000"/>
          <w:sz w:val="24"/>
          <w:szCs w:val="24"/>
        </w:rPr>
        <w:tab/>
        <w:t>Certificación emitida por el fabricante de que el equipo es nuevo no reconstruido.</w:t>
      </w:r>
    </w:p>
    <w:sectPr w:rsidR="00FE2054" w:rsidRPr="00B142C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1B7B" w14:textId="77777777" w:rsidR="00DC7C22" w:rsidRDefault="00DC7C22" w:rsidP="007E0037">
      <w:pPr>
        <w:spacing w:after="0" w:line="240" w:lineRule="auto"/>
      </w:pPr>
      <w:r>
        <w:separator/>
      </w:r>
    </w:p>
  </w:endnote>
  <w:endnote w:type="continuationSeparator" w:id="0">
    <w:p w14:paraId="5066A2C6" w14:textId="77777777" w:rsidR="00DC7C22" w:rsidRDefault="00DC7C22" w:rsidP="007E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1298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FDAECA" w14:textId="380815AF" w:rsidR="007E0037" w:rsidRDefault="007E003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4C367" w14:textId="357D8FF7" w:rsidR="007E0037" w:rsidRDefault="007E0037">
    <w:pPr>
      <w:pStyle w:val="Piedepgina"/>
    </w:pPr>
    <w:r>
      <w:t xml:space="preserve">Homologación/MQ/HN/9:00 </w:t>
    </w:r>
    <w:proofErr w:type="spellStart"/>
    <w:r>
      <w:t>a.m</w:t>
    </w:r>
    <w:proofErr w:type="spellEnd"/>
    <w:r>
      <w:t>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A9F0" w14:textId="77777777" w:rsidR="00DC7C22" w:rsidRDefault="00DC7C22" w:rsidP="007E0037">
      <w:pPr>
        <w:spacing w:after="0" w:line="240" w:lineRule="auto"/>
      </w:pPr>
      <w:r>
        <w:separator/>
      </w:r>
    </w:p>
  </w:footnote>
  <w:footnote w:type="continuationSeparator" w:id="0">
    <w:p w14:paraId="57DEDDC5" w14:textId="77777777" w:rsidR="00DC7C22" w:rsidRDefault="00DC7C22" w:rsidP="007E0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906"/>
    <w:multiLevelType w:val="hybridMultilevel"/>
    <w:tmpl w:val="4360467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4872"/>
    <w:multiLevelType w:val="hybridMultilevel"/>
    <w:tmpl w:val="64FA40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96762">
    <w:abstractNumId w:val="0"/>
  </w:num>
  <w:num w:numId="2" w16cid:durableId="198334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37"/>
    <w:rsid w:val="001A2357"/>
    <w:rsid w:val="002678B8"/>
    <w:rsid w:val="003A4CE6"/>
    <w:rsid w:val="007E0037"/>
    <w:rsid w:val="00B142CB"/>
    <w:rsid w:val="00DC7C22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D723C"/>
  <w15:chartTrackingRefBased/>
  <w15:docId w15:val="{A466AB33-E7C0-4240-B837-547E7C3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0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0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0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0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0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0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0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0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0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0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00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00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00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00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00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0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00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00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00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0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00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003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037"/>
  </w:style>
  <w:style w:type="paragraph" w:styleId="Piedepgina">
    <w:name w:val="footer"/>
    <w:basedOn w:val="Normal"/>
    <w:link w:val="PiedepginaCar"/>
    <w:uiPriority w:val="99"/>
    <w:unhideWhenUsed/>
    <w:rsid w:val="007E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521</Words>
  <Characters>3204</Characters>
  <Application>Microsoft Office Word</Application>
  <DocSecurity>0</DocSecurity>
  <Lines>78</Lines>
  <Paragraphs>44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3</cp:revision>
  <cp:lastPrinted>2026-02-04T14:57:00Z</cp:lastPrinted>
  <dcterms:created xsi:type="dcterms:W3CDTF">2026-02-04T14:43:00Z</dcterms:created>
  <dcterms:modified xsi:type="dcterms:W3CDTF">2026-02-04T14:58:00Z</dcterms:modified>
</cp:coreProperties>
</file>