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9855E" w14:textId="5E8BCB9A" w:rsidR="003A4CE6" w:rsidRDefault="008D2CC4">
      <w:pPr>
        <w:rPr>
          <w:rFonts w:ascii="Times New Roman" w:hAnsi="Times New Roman" w:cs="Times New Roman"/>
          <w:color w:val="212529"/>
          <w:sz w:val="24"/>
          <w:szCs w:val="24"/>
          <w:shd w:val="clear" w:color="auto" w:fill="FFFFFF"/>
        </w:rPr>
      </w:pPr>
      <w:r w:rsidRPr="008D2CC4">
        <w:rPr>
          <w:rFonts w:ascii="Times New Roman" w:hAnsi="Times New Roman" w:cs="Times New Roman"/>
          <w:color w:val="212529"/>
          <w:sz w:val="24"/>
          <w:szCs w:val="24"/>
          <w:shd w:val="clear" w:color="auto" w:fill="FFFFFF"/>
        </w:rPr>
        <w:t>CEMENTO ÓSEO DE ALTA VISCOSIDAD PARA VERTEBROPLASTÍA Y CIFOPLASTÍA</w:t>
      </w:r>
    </w:p>
    <w:p w14:paraId="13E5939B" w14:textId="77777777" w:rsidR="008D2CC4" w:rsidRDefault="008D2CC4">
      <w:pPr>
        <w:rPr>
          <w:rFonts w:ascii="Times New Roman" w:hAnsi="Times New Roman" w:cs="Times New Roman"/>
          <w:color w:val="212529"/>
          <w:sz w:val="24"/>
          <w:szCs w:val="24"/>
          <w:shd w:val="clear" w:color="auto" w:fill="FFFFFF"/>
        </w:rPr>
      </w:pPr>
    </w:p>
    <w:p w14:paraId="18A2F85F" w14:textId="71D0D303" w:rsidR="008D2CC4" w:rsidRDefault="008D2CC4" w:rsidP="008D2CC4">
      <w:pPr>
        <w:jc w:val="both"/>
        <w:rPr>
          <w:rFonts w:ascii="Times New Roman" w:hAnsi="Times New Roman" w:cs="Times New Roman"/>
          <w:sz w:val="24"/>
          <w:szCs w:val="24"/>
        </w:rPr>
      </w:pPr>
      <w:r w:rsidRPr="008D2CC4">
        <w:rPr>
          <w:rFonts w:ascii="Times New Roman" w:hAnsi="Times New Roman" w:cs="Times New Roman"/>
          <w:sz w:val="24"/>
          <w:szCs w:val="24"/>
        </w:rPr>
        <w:t>Descripción:</w:t>
      </w:r>
      <w:r>
        <w:rPr>
          <w:rFonts w:ascii="Times New Roman" w:hAnsi="Times New Roman" w:cs="Times New Roman"/>
          <w:sz w:val="24"/>
          <w:szCs w:val="24"/>
        </w:rPr>
        <w:t xml:space="preserve"> </w:t>
      </w:r>
      <w:r w:rsidRPr="008D2CC4">
        <w:rPr>
          <w:rFonts w:ascii="Times New Roman" w:hAnsi="Times New Roman" w:cs="Times New Roman"/>
          <w:sz w:val="24"/>
          <w:szCs w:val="24"/>
        </w:rPr>
        <w:t xml:space="preserve">Cemento óseo radiopaco a base de polimetilmetacrilato (PMMA), indicado para procedimientos percutáneos de </w:t>
      </w:r>
      <w:proofErr w:type="spellStart"/>
      <w:r w:rsidRPr="008D2CC4">
        <w:rPr>
          <w:rFonts w:ascii="Times New Roman" w:hAnsi="Times New Roman" w:cs="Times New Roman"/>
          <w:sz w:val="24"/>
          <w:szCs w:val="24"/>
        </w:rPr>
        <w:t>vertebroplastía</w:t>
      </w:r>
      <w:proofErr w:type="spellEnd"/>
      <w:r w:rsidRPr="008D2CC4">
        <w:rPr>
          <w:rFonts w:ascii="Times New Roman" w:hAnsi="Times New Roman" w:cs="Times New Roman"/>
          <w:sz w:val="24"/>
          <w:szCs w:val="24"/>
        </w:rPr>
        <w:t xml:space="preserve"> y </w:t>
      </w:r>
      <w:proofErr w:type="spellStart"/>
      <w:r w:rsidRPr="008D2CC4">
        <w:rPr>
          <w:rFonts w:ascii="Times New Roman" w:hAnsi="Times New Roman" w:cs="Times New Roman"/>
          <w:sz w:val="24"/>
          <w:szCs w:val="24"/>
        </w:rPr>
        <w:t>cifoplastía</w:t>
      </w:r>
      <w:proofErr w:type="spellEnd"/>
      <w:r w:rsidRPr="008D2CC4">
        <w:rPr>
          <w:rFonts w:ascii="Times New Roman" w:hAnsi="Times New Roman" w:cs="Times New Roman"/>
          <w:sz w:val="24"/>
          <w:szCs w:val="24"/>
        </w:rPr>
        <w:t>. Su formulación de alta viscosidad y tiempo de trabajo extendido permite una administración controlada y predecible bajo guía fluoroscópica, favoreciendo la adecuada interdigitación ósea y reduciendo el riesgo de extravasación</w:t>
      </w:r>
      <w:r>
        <w:rPr>
          <w:rFonts w:ascii="Times New Roman" w:hAnsi="Times New Roman" w:cs="Times New Roman"/>
          <w:sz w:val="24"/>
          <w:szCs w:val="24"/>
        </w:rPr>
        <w:t>.</w:t>
      </w:r>
    </w:p>
    <w:p w14:paraId="6262313B" w14:textId="77777777" w:rsidR="008D2CC4" w:rsidRDefault="008D2CC4" w:rsidP="008D2CC4">
      <w:pPr>
        <w:jc w:val="both"/>
        <w:rPr>
          <w:rFonts w:ascii="Times New Roman" w:hAnsi="Times New Roman" w:cs="Times New Roman"/>
          <w:sz w:val="24"/>
          <w:szCs w:val="24"/>
        </w:rPr>
      </w:pPr>
    </w:p>
    <w:p w14:paraId="49BD7A4B" w14:textId="77777777" w:rsidR="008D2CC4" w:rsidRDefault="008D2CC4" w:rsidP="008D2CC4">
      <w:pPr>
        <w:jc w:val="both"/>
        <w:rPr>
          <w:rFonts w:ascii="Times New Roman" w:hAnsi="Times New Roman" w:cs="Times New Roman"/>
          <w:sz w:val="24"/>
          <w:szCs w:val="24"/>
        </w:rPr>
      </w:pPr>
      <w:r w:rsidRPr="008D2CC4">
        <w:rPr>
          <w:rFonts w:ascii="Times New Roman" w:hAnsi="Times New Roman" w:cs="Times New Roman"/>
          <w:sz w:val="24"/>
          <w:szCs w:val="24"/>
        </w:rPr>
        <w:t>Especificaciones Técnicas</w:t>
      </w:r>
      <w:r>
        <w:rPr>
          <w:rFonts w:ascii="Times New Roman" w:hAnsi="Times New Roman" w:cs="Times New Roman"/>
          <w:sz w:val="24"/>
          <w:szCs w:val="24"/>
        </w:rPr>
        <w:t>:</w:t>
      </w:r>
    </w:p>
    <w:p w14:paraId="6E66C99B"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Composición: Polimetilmetacrilato (PMMA). </w:t>
      </w:r>
    </w:p>
    <w:p w14:paraId="14CF5396"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Agente radiopaco incorporado para visualización fluoroscópica. </w:t>
      </w:r>
    </w:p>
    <w:p w14:paraId="5DD0AF6D" w14:textId="29E6C2E3"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Alta viscosidad para inyección controlada. </w:t>
      </w:r>
    </w:p>
    <w:p w14:paraId="05B06902"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Polimerización in situ posterior a la mezcla de componentes. </w:t>
      </w:r>
    </w:p>
    <w:p w14:paraId="695387DF"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Tiempo de trabajo aproximado: 30–35 minutos (dependiendo de condiciones ambientales). </w:t>
      </w:r>
    </w:p>
    <w:p w14:paraId="70D55E89"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Sistema de preparación cerrado que minimiza la manipulación del material. </w:t>
      </w:r>
    </w:p>
    <w:p w14:paraId="2E01161B"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Compatible con sistemas de administración manual o hidráulica. </w:t>
      </w:r>
    </w:p>
    <w:p w14:paraId="4593692E"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Compatible con cánulas estándar para </w:t>
      </w:r>
      <w:proofErr w:type="spellStart"/>
      <w:r w:rsidRPr="008D2CC4">
        <w:rPr>
          <w:rFonts w:ascii="Times New Roman" w:hAnsi="Times New Roman" w:cs="Times New Roman"/>
          <w:sz w:val="24"/>
          <w:szCs w:val="24"/>
        </w:rPr>
        <w:t>vertebroplastía</w:t>
      </w:r>
      <w:proofErr w:type="spellEnd"/>
      <w:r w:rsidRPr="008D2CC4">
        <w:rPr>
          <w:rFonts w:ascii="Times New Roman" w:hAnsi="Times New Roman" w:cs="Times New Roman"/>
          <w:sz w:val="24"/>
          <w:szCs w:val="24"/>
        </w:rPr>
        <w:t>/</w:t>
      </w:r>
      <w:proofErr w:type="spellStart"/>
      <w:r w:rsidRPr="008D2CC4">
        <w:rPr>
          <w:rFonts w:ascii="Times New Roman" w:hAnsi="Times New Roman" w:cs="Times New Roman"/>
          <w:sz w:val="24"/>
          <w:szCs w:val="24"/>
        </w:rPr>
        <w:t>cifoplastía</w:t>
      </w:r>
      <w:proofErr w:type="spellEnd"/>
      <w:r w:rsidRPr="008D2CC4">
        <w:rPr>
          <w:rFonts w:ascii="Times New Roman" w:hAnsi="Times New Roman" w:cs="Times New Roman"/>
          <w:sz w:val="24"/>
          <w:szCs w:val="24"/>
        </w:rPr>
        <w:t xml:space="preserve"> (ej. 11G). </w:t>
      </w:r>
    </w:p>
    <w:p w14:paraId="2A433B3A"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Indicado para uso bajo guía por imagen médica. </w:t>
      </w:r>
    </w:p>
    <w:p w14:paraId="774ADA2E"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No destinado a carga estructural primaria fuera del contexto de aumento vertebral. </w:t>
      </w:r>
    </w:p>
    <w:p w14:paraId="7B01E15E" w14:textId="7043E23B"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Presentación estéril de uso único.</w:t>
      </w:r>
    </w:p>
    <w:p w14:paraId="7137D02A" w14:textId="77777777" w:rsidR="008D2CC4" w:rsidRDefault="008D2CC4" w:rsidP="008D2CC4">
      <w:pPr>
        <w:spacing w:after="0" w:line="240" w:lineRule="auto"/>
        <w:jc w:val="both"/>
        <w:rPr>
          <w:rFonts w:ascii="Times New Roman" w:hAnsi="Times New Roman" w:cs="Times New Roman"/>
          <w:sz w:val="24"/>
          <w:szCs w:val="24"/>
        </w:rPr>
      </w:pPr>
    </w:p>
    <w:p w14:paraId="159FA6E5" w14:textId="77777777" w:rsidR="008D2CC4" w:rsidRDefault="008D2CC4" w:rsidP="008D2CC4">
      <w:pPr>
        <w:spacing w:after="0" w:line="240" w:lineRule="auto"/>
        <w:jc w:val="both"/>
        <w:rPr>
          <w:rFonts w:ascii="Times New Roman" w:hAnsi="Times New Roman" w:cs="Times New Roman"/>
          <w:sz w:val="24"/>
          <w:szCs w:val="24"/>
        </w:rPr>
      </w:pPr>
    </w:p>
    <w:p w14:paraId="2AA2BA4D" w14:textId="77777777" w:rsidR="008D2CC4" w:rsidRDefault="008D2CC4" w:rsidP="008D2CC4">
      <w:pPr>
        <w:spacing w:after="0" w:line="240" w:lineRule="auto"/>
        <w:jc w:val="both"/>
        <w:rPr>
          <w:rFonts w:ascii="Times New Roman" w:hAnsi="Times New Roman" w:cs="Times New Roman"/>
          <w:sz w:val="24"/>
          <w:szCs w:val="24"/>
        </w:rPr>
      </w:pPr>
    </w:p>
    <w:p w14:paraId="1450A5F1" w14:textId="77777777"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Observacione</w:t>
      </w:r>
      <w:r>
        <w:rPr>
          <w:rFonts w:ascii="Times New Roman" w:hAnsi="Times New Roman" w:cs="Times New Roman"/>
          <w:sz w:val="24"/>
          <w:szCs w:val="24"/>
        </w:rPr>
        <w:t>s:</w:t>
      </w:r>
    </w:p>
    <w:p w14:paraId="485D724F" w14:textId="45EF9C6C" w:rsidR="008D2CC4" w:rsidRDefault="008D2CC4" w:rsidP="008D2CC4">
      <w:p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ab/>
      </w:r>
    </w:p>
    <w:p w14:paraId="43F3CD37" w14:textId="77777777" w:rsidR="008D2CC4" w:rsidRDefault="008D2CC4" w:rsidP="008D2CC4">
      <w:pPr>
        <w:pStyle w:val="Prrafodelista"/>
        <w:numPr>
          <w:ilvl w:val="0"/>
          <w:numId w:val="1"/>
        </w:num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 Empaque individual. </w:t>
      </w:r>
    </w:p>
    <w:p w14:paraId="5AB752C8" w14:textId="77777777" w:rsidR="008D2CC4" w:rsidRDefault="008D2CC4" w:rsidP="008D2CC4">
      <w:pPr>
        <w:pStyle w:val="Prrafodelista"/>
        <w:numPr>
          <w:ilvl w:val="0"/>
          <w:numId w:val="1"/>
        </w:num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 xml:space="preserve">Debe traer impreso y visible fecha de manufactura, número de lote, país de origen y marca de fábrica. </w:t>
      </w:r>
    </w:p>
    <w:p w14:paraId="70049574" w14:textId="5D107076" w:rsidR="008D2CC4" w:rsidRDefault="008D2CC4" w:rsidP="008D2CC4">
      <w:pPr>
        <w:pStyle w:val="Prrafodelista"/>
        <w:numPr>
          <w:ilvl w:val="0"/>
          <w:numId w:val="1"/>
        </w:numPr>
        <w:spacing w:after="0" w:line="240" w:lineRule="auto"/>
        <w:jc w:val="both"/>
        <w:rPr>
          <w:rFonts w:ascii="Times New Roman" w:hAnsi="Times New Roman" w:cs="Times New Roman"/>
          <w:sz w:val="24"/>
          <w:szCs w:val="24"/>
        </w:rPr>
      </w:pPr>
      <w:r w:rsidRPr="008D2CC4">
        <w:rPr>
          <w:rFonts w:ascii="Times New Roman" w:hAnsi="Times New Roman" w:cs="Times New Roman"/>
          <w:sz w:val="24"/>
          <w:szCs w:val="24"/>
        </w:rPr>
        <w:t>Cumplir con los estándares internacionales de aseguramiento de la calidad y comercialización.</w:t>
      </w:r>
    </w:p>
    <w:p w14:paraId="537F31E1" w14:textId="77777777" w:rsidR="008D2CC4" w:rsidRDefault="008D2CC4" w:rsidP="008D2CC4">
      <w:pPr>
        <w:spacing w:after="0" w:line="240" w:lineRule="auto"/>
        <w:jc w:val="both"/>
        <w:rPr>
          <w:rFonts w:ascii="Times New Roman" w:hAnsi="Times New Roman" w:cs="Times New Roman"/>
          <w:sz w:val="24"/>
          <w:szCs w:val="24"/>
        </w:rPr>
      </w:pPr>
    </w:p>
    <w:p w14:paraId="02A79F12" w14:textId="77777777" w:rsidR="008D2CC4" w:rsidRDefault="008D2CC4" w:rsidP="008D2CC4">
      <w:pPr>
        <w:spacing w:after="0" w:line="240" w:lineRule="auto"/>
        <w:jc w:val="both"/>
        <w:rPr>
          <w:rFonts w:ascii="Times New Roman" w:hAnsi="Times New Roman" w:cs="Times New Roman"/>
          <w:sz w:val="24"/>
          <w:szCs w:val="24"/>
        </w:rPr>
      </w:pPr>
    </w:p>
    <w:p w14:paraId="3018CC82" w14:textId="77777777" w:rsidR="008D2CC4" w:rsidRDefault="008D2CC4" w:rsidP="008D2CC4">
      <w:pPr>
        <w:spacing w:after="0" w:line="240" w:lineRule="auto"/>
        <w:jc w:val="both"/>
        <w:rPr>
          <w:rFonts w:ascii="Times New Roman" w:hAnsi="Times New Roman" w:cs="Times New Roman"/>
          <w:sz w:val="24"/>
          <w:szCs w:val="24"/>
        </w:rPr>
      </w:pPr>
    </w:p>
    <w:p w14:paraId="06194687" w14:textId="77777777" w:rsidR="008D2CC4" w:rsidRDefault="008D2CC4" w:rsidP="008D2CC4">
      <w:pPr>
        <w:spacing w:after="0" w:line="240" w:lineRule="auto"/>
        <w:jc w:val="both"/>
        <w:rPr>
          <w:rFonts w:ascii="Times New Roman" w:hAnsi="Times New Roman" w:cs="Times New Roman"/>
          <w:sz w:val="24"/>
          <w:szCs w:val="24"/>
        </w:rPr>
      </w:pPr>
    </w:p>
    <w:p w14:paraId="05CEAD8B" w14:textId="77777777" w:rsidR="008D2CC4" w:rsidRDefault="008D2CC4" w:rsidP="008D2CC4">
      <w:pPr>
        <w:spacing w:after="0" w:line="240" w:lineRule="auto"/>
        <w:jc w:val="both"/>
        <w:rPr>
          <w:rFonts w:ascii="Times New Roman" w:hAnsi="Times New Roman" w:cs="Times New Roman"/>
          <w:sz w:val="24"/>
          <w:szCs w:val="24"/>
        </w:rPr>
      </w:pPr>
    </w:p>
    <w:p w14:paraId="2A012FC4" w14:textId="77777777" w:rsidR="008D2CC4" w:rsidRDefault="008D2CC4" w:rsidP="008D2CC4">
      <w:pPr>
        <w:spacing w:after="0" w:line="240" w:lineRule="auto"/>
        <w:jc w:val="both"/>
        <w:rPr>
          <w:rFonts w:ascii="Times New Roman" w:hAnsi="Times New Roman" w:cs="Times New Roman"/>
          <w:sz w:val="24"/>
          <w:szCs w:val="24"/>
        </w:rPr>
      </w:pPr>
    </w:p>
    <w:p w14:paraId="27F52542" w14:textId="77777777" w:rsidR="008D2CC4" w:rsidRDefault="008D2CC4" w:rsidP="008D2CC4">
      <w:pPr>
        <w:spacing w:after="0" w:line="240" w:lineRule="auto"/>
        <w:jc w:val="both"/>
        <w:rPr>
          <w:rFonts w:ascii="Times New Roman" w:hAnsi="Times New Roman" w:cs="Times New Roman"/>
          <w:sz w:val="24"/>
          <w:szCs w:val="24"/>
        </w:rPr>
      </w:pPr>
    </w:p>
    <w:p w14:paraId="46F7B43D" w14:textId="77777777" w:rsidR="008D2CC4" w:rsidRDefault="008D2CC4" w:rsidP="008D2CC4">
      <w:pPr>
        <w:spacing w:after="0" w:line="240" w:lineRule="auto"/>
        <w:jc w:val="both"/>
        <w:rPr>
          <w:rFonts w:ascii="Times New Roman" w:hAnsi="Times New Roman" w:cs="Times New Roman"/>
          <w:sz w:val="24"/>
          <w:szCs w:val="24"/>
        </w:rPr>
      </w:pPr>
    </w:p>
    <w:p w14:paraId="1ACAFAEB" w14:textId="77777777" w:rsidR="008D2CC4" w:rsidRDefault="008D2CC4" w:rsidP="008D2CC4">
      <w:pPr>
        <w:spacing w:after="0" w:line="240" w:lineRule="auto"/>
        <w:jc w:val="both"/>
        <w:rPr>
          <w:rFonts w:ascii="Times New Roman" w:hAnsi="Times New Roman" w:cs="Times New Roman"/>
          <w:sz w:val="24"/>
          <w:szCs w:val="24"/>
        </w:rPr>
      </w:pPr>
    </w:p>
    <w:p w14:paraId="0404EE34" w14:textId="77777777" w:rsidR="008D2CC4" w:rsidRDefault="008D2CC4" w:rsidP="008D2CC4">
      <w:pPr>
        <w:spacing w:after="0" w:line="240" w:lineRule="auto"/>
        <w:jc w:val="both"/>
        <w:rPr>
          <w:rFonts w:ascii="Times New Roman" w:hAnsi="Times New Roman" w:cs="Times New Roman"/>
          <w:sz w:val="24"/>
          <w:szCs w:val="24"/>
        </w:rPr>
      </w:pPr>
    </w:p>
    <w:p w14:paraId="5A8D838B" w14:textId="77777777" w:rsidR="008D2CC4" w:rsidRDefault="008D2CC4" w:rsidP="008D2CC4">
      <w:pPr>
        <w:spacing w:after="0" w:line="240" w:lineRule="auto"/>
        <w:jc w:val="both"/>
        <w:rPr>
          <w:rFonts w:ascii="Times New Roman" w:hAnsi="Times New Roman" w:cs="Times New Roman"/>
          <w:sz w:val="24"/>
          <w:szCs w:val="24"/>
        </w:rPr>
      </w:pPr>
    </w:p>
    <w:p w14:paraId="46A37E6A" w14:textId="77777777" w:rsidR="008D2CC4" w:rsidRDefault="008D2CC4" w:rsidP="008D2CC4">
      <w:pPr>
        <w:spacing w:after="0" w:line="240" w:lineRule="auto"/>
        <w:jc w:val="both"/>
        <w:rPr>
          <w:rFonts w:ascii="Times New Roman" w:hAnsi="Times New Roman" w:cs="Times New Roman"/>
          <w:sz w:val="24"/>
          <w:szCs w:val="24"/>
        </w:rPr>
      </w:pPr>
    </w:p>
    <w:p w14:paraId="6372090B" w14:textId="77777777" w:rsidR="008D2CC4" w:rsidRDefault="008D2CC4" w:rsidP="008D2CC4">
      <w:pPr>
        <w:spacing w:after="0" w:line="240" w:lineRule="auto"/>
        <w:jc w:val="both"/>
        <w:rPr>
          <w:rFonts w:ascii="Times New Roman" w:hAnsi="Times New Roman" w:cs="Times New Roman"/>
          <w:sz w:val="24"/>
          <w:szCs w:val="24"/>
        </w:rPr>
      </w:pPr>
    </w:p>
    <w:p w14:paraId="12E372A2" w14:textId="77777777" w:rsidR="008D2CC4" w:rsidRPr="008D2CC4" w:rsidRDefault="008D2CC4" w:rsidP="008D2CC4">
      <w:pPr>
        <w:spacing w:after="0" w:line="240" w:lineRule="auto"/>
        <w:jc w:val="both"/>
        <w:rPr>
          <w:rFonts w:ascii="Times New Roman" w:hAnsi="Times New Roman" w:cs="Times New Roman"/>
        </w:rPr>
      </w:pPr>
    </w:p>
    <w:p w14:paraId="570E98EA" w14:textId="1A120672"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SISTEMA DE ABLACIÓN POR RADIOFRECUENCIA PARA TUMORES VERTEBRALES (formulario 23987).</w:t>
      </w:r>
    </w:p>
    <w:p w14:paraId="20E95EA4" w14:textId="77777777" w:rsidR="008D2CC4" w:rsidRPr="008D2CC4" w:rsidRDefault="008D2CC4" w:rsidP="008D2CC4">
      <w:pPr>
        <w:spacing w:after="0" w:line="240" w:lineRule="auto"/>
        <w:jc w:val="both"/>
        <w:rPr>
          <w:rFonts w:ascii="Times New Roman" w:hAnsi="Times New Roman" w:cs="Times New Roman"/>
        </w:rPr>
      </w:pPr>
    </w:p>
    <w:p w14:paraId="46372791" w14:textId="4F4DDA79"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Descripción:</w:t>
      </w:r>
      <w:r w:rsidRPr="008D2CC4">
        <w:rPr>
          <w:rFonts w:ascii="Times New Roman" w:hAnsi="Times New Roman" w:cs="Times New Roman"/>
        </w:rPr>
        <w:tab/>
        <w:t xml:space="preserve">Sistema de ablación percutánea de tumores vertebrales mediante radiofrecuencia dirigida. Permite la aplicación controlada de energía térmica en tejido tumoral óseo, con monitoreo de temperatura en tiempo real, facilitando la destrucción localizada del tumor. El sistema consiste en un generador de radiofrecuencia </w:t>
      </w:r>
      <w:proofErr w:type="spellStart"/>
      <w:r w:rsidRPr="008D2CC4">
        <w:rPr>
          <w:rFonts w:ascii="Times New Roman" w:hAnsi="Times New Roman" w:cs="Times New Roman"/>
        </w:rPr>
        <w:t>MetaSTAR</w:t>
      </w:r>
      <w:proofErr w:type="spellEnd"/>
      <w:r w:rsidRPr="008D2CC4">
        <w:rPr>
          <w:rFonts w:ascii="Times New Roman" w:hAnsi="Times New Roman" w:cs="Times New Roman"/>
        </w:rPr>
        <w:t xml:space="preserve">®, con parámetros configurables, diseñado para su uso en procedimientos mínimamente invasivos guiados por imagen. Es compatible con instrumentos de ablación por radiofrecuencia </w:t>
      </w:r>
      <w:proofErr w:type="spellStart"/>
      <w:r w:rsidRPr="008D2CC4">
        <w:rPr>
          <w:rFonts w:ascii="Times New Roman" w:hAnsi="Times New Roman" w:cs="Times New Roman"/>
        </w:rPr>
        <w:t>SpineSTAR</w:t>
      </w:r>
      <w:proofErr w:type="spellEnd"/>
      <w:r w:rsidRPr="008D2CC4">
        <w:rPr>
          <w:rFonts w:ascii="Times New Roman" w:hAnsi="Times New Roman" w:cs="Times New Roman"/>
        </w:rPr>
        <w:t>®, que incorporan sensores térmicos integrados para el control de temperatura durante la ablación.</w:t>
      </w:r>
    </w:p>
    <w:p w14:paraId="759DBBCD" w14:textId="77777777" w:rsidR="008D2CC4" w:rsidRPr="008D2CC4" w:rsidRDefault="008D2CC4" w:rsidP="008D2CC4">
      <w:pPr>
        <w:spacing w:after="0" w:line="240" w:lineRule="auto"/>
        <w:jc w:val="both"/>
        <w:rPr>
          <w:rFonts w:ascii="Times New Roman" w:hAnsi="Times New Roman" w:cs="Times New Roman"/>
        </w:rPr>
      </w:pPr>
    </w:p>
    <w:p w14:paraId="45EF443C" w14:textId="77777777" w:rsidR="008D2CC4" w:rsidRPr="008D2CC4" w:rsidRDefault="008D2CC4" w:rsidP="008D2CC4">
      <w:pPr>
        <w:spacing w:after="0" w:line="240" w:lineRule="auto"/>
        <w:jc w:val="both"/>
        <w:rPr>
          <w:rFonts w:ascii="Times New Roman" w:hAnsi="Times New Roman" w:cs="Times New Roman"/>
        </w:rPr>
      </w:pPr>
    </w:p>
    <w:p w14:paraId="38CA144A"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Especificaciones Técnica: Consola de Radiofrecuencia </w:t>
      </w:r>
      <w:proofErr w:type="spellStart"/>
      <w:r w:rsidRPr="008D2CC4">
        <w:rPr>
          <w:rFonts w:ascii="Times New Roman" w:hAnsi="Times New Roman" w:cs="Times New Roman"/>
        </w:rPr>
        <w:t>MetaSTAR</w:t>
      </w:r>
      <w:proofErr w:type="spellEnd"/>
      <w:r w:rsidRPr="008D2CC4">
        <w:rPr>
          <w:rFonts w:ascii="Times New Roman" w:hAnsi="Times New Roman" w:cs="Times New Roman"/>
        </w:rPr>
        <w:t xml:space="preserve">® </w:t>
      </w:r>
    </w:p>
    <w:p w14:paraId="3067973B"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Generador de radiofrecuencia para procedimientos de ablación percutánea. </w:t>
      </w:r>
    </w:p>
    <w:p w14:paraId="4C350BF3"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Entrada de alimentación: 100–240 V CA, 50/60 Hz. </w:t>
      </w:r>
    </w:p>
    <w:p w14:paraId="01661578"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Potencias de salida configurables: 3 W, 5 W, 7.5 W y 10 W. </w:t>
      </w:r>
    </w:p>
    <w:p w14:paraId="248BD794"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Frecuencia de operación: 480 kHz. </w:t>
      </w:r>
    </w:p>
    <w:p w14:paraId="7D2482E4"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Rango de impedancia compatible: 20 O a 1000 O. </w:t>
      </w:r>
    </w:p>
    <w:p w14:paraId="2CD27147"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Monitoreo y visualización de parámetros durante el procedimiento. </w:t>
      </w:r>
    </w:p>
    <w:p w14:paraId="487C6D38"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Control automático de potencia en función de la impedancia tisular. </w:t>
      </w:r>
    </w:p>
    <w:p w14:paraId="32B9B148"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Peso aproximado: 3 kg. </w:t>
      </w:r>
    </w:p>
    <w:p w14:paraId="6D40D1A7"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Dimensiones aproximadas: 46 × 28 × 15 cm. </w:t>
      </w:r>
    </w:p>
    <w:p w14:paraId="2E52C0EA"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Diseñado para uso hospitalario. Instrumento de Ablación por Radiofrecuencia </w:t>
      </w:r>
      <w:proofErr w:type="spellStart"/>
      <w:r w:rsidRPr="008D2CC4">
        <w:rPr>
          <w:rFonts w:ascii="Times New Roman" w:hAnsi="Times New Roman" w:cs="Times New Roman"/>
        </w:rPr>
        <w:t>SpineSTAR</w:t>
      </w:r>
      <w:proofErr w:type="spellEnd"/>
      <w:r w:rsidRPr="008D2CC4">
        <w:rPr>
          <w:rFonts w:ascii="Times New Roman" w:hAnsi="Times New Roman" w:cs="Times New Roman"/>
        </w:rPr>
        <w:t xml:space="preserve">® – </w:t>
      </w:r>
    </w:p>
    <w:p w14:paraId="4DED854E" w14:textId="77777777" w:rsidR="008D2CC4" w:rsidRPr="008D2CC4" w:rsidRDefault="008D2CC4" w:rsidP="008D2CC4">
      <w:pPr>
        <w:spacing w:after="0" w:line="240" w:lineRule="auto"/>
        <w:jc w:val="both"/>
        <w:rPr>
          <w:rFonts w:ascii="Times New Roman" w:hAnsi="Times New Roman" w:cs="Times New Roman"/>
        </w:rPr>
      </w:pPr>
    </w:p>
    <w:p w14:paraId="60BD15C3"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Accesorio </w:t>
      </w:r>
    </w:p>
    <w:p w14:paraId="74369C29" w14:textId="77777777" w:rsidR="008D2CC4" w:rsidRPr="008D2CC4" w:rsidRDefault="008D2CC4" w:rsidP="008D2CC4">
      <w:pPr>
        <w:spacing w:after="0" w:line="240" w:lineRule="auto"/>
        <w:jc w:val="both"/>
        <w:rPr>
          <w:rFonts w:ascii="Times New Roman" w:hAnsi="Times New Roman" w:cs="Times New Roman"/>
        </w:rPr>
      </w:pPr>
    </w:p>
    <w:p w14:paraId="38D248F8"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Calibre: 11G. </w:t>
      </w:r>
    </w:p>
    <w:p w14:paraId="7DC83937"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Diseño dirigible con segmento distal articulado. </w:t>
      </w:r>
    </w:p>
    <w:p w14:paraId="34F59C10"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Termopares integrados para monitoreo térmico en tiempo real. </w:t>
      </w:r>
    </w:p>
    <w:p w14:paraId="7E77E992"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Longitud aproximada: </w:t>
      </w:r>
    </w:p>
    <w:p w14:paraId="2E23E8CE"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Corto: 15,5 cm</w:t>
      </w:r>
    </w:p>
    <w:p w14:paraId="4F192145" w14:textId="32A6E5C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Largo: 17,5 cm </w:t>
      </w:r>
    </w:p>
    <w:p w14:paraId="23C84EF6"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Longitud de segmento activo disponible en configuraciones: </w:t>
      </w:r>
    </w:p>
    <w:p w14:paraId="04837178"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5 mm / 10 mm </w:t>
      </w:r>
    </w:p>
    <w:p w14:paraId="6A7631B0"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10 mm / 15 mm </w:t>
      </w:r>
    </w:p>
    <w:p w14:paraId="3682E7CE"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Dispositivo estéril, de uso único. Otros Accesorios Compatibles </w:t>
      </w:r>
    </w:p>
    <w:p w14:paraId="417CF797"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Introductores óseos (punta biselada o diamantada). </w:t>
      </w:r>
    </w:p>
    <w:p w14:paraId="2FF092BC"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w:t>
      </w:r>
      <w:proofErr w:type="spellStart"/>
      <w:r w:rsidRPr="008D2CC4">
        <w:rPr>
          <w:rFonts w:ascii="Times New Roman" w:hAnsi="Times New Roman" w:cs="Times New Roman"/>
        </w:rPr>
        <w:t>Osteótomos</w:t>
      </w:r>
      <w:proofErr w:type="spellEnd"/>
      <w:r w:rsidRPr="008D2CC4">
        <w:rPr>
          <w:rFonts w:ascii="Times New Roman" w:hAnsi="Times New Roman" w:cs="Times New Roman"/>
        </w:rPr>
        <w:t xml:space="preserve"> (instrumentos quirúrgicos destinados a la preparación, conformación y navegación del acceso intraóseo). </w:t>
      </w:r>
    </w:p>
    <w:p w14:paraId="3E1F59AA"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xml:space="preserve">• Cables de conexión. </w:t>
      </w:r>
    </w:p>
    <w:p w14:paraId="7BC68A19" w14:textId="3B3A1408"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 Componentes según configuración del kit.</w:t>
      </w:r>
    </w:p>
    <w:p w14:paraId="77442ED3" w14:textId="77777777" w:rsidR="008D2CC4" w:rsidRPr="008D2CC4" w:rsidRDefault="008D2CC4" w:rsidP="008D2CC4">
      <w:pPr>
        <w:spacing w:after="0" w:line="240" w:lineRule="auto"/>
        <w:jc w:val="both"/>
        <w:rPr>
          <w:rFonts w:ascii="Times New Roman" w:hAnsi="Times New Roman" w:cs="Times New Roman"/>
        </w:rPr>
      </w:pPr>
    </w:p>
    <w:p w14:paraId="6586309D" w14:textId="77777777" w:rsidR="008D2CC4" w:rsidRPr="008D2CC4" w:rsidRDefault="008D2CC4" w:rsidP="008D2CC4">
      <w:pPr>
        <w:spacing w:after="0" w:line="240" w:lineRule="auto"/>
        <w:jc w:val="both"/>
        <w:rPr>
          <w:rFonts w:ascii="Times New Roman" w:hAnsi="Times New Roman" w:cs="Times New Roman"/>
        </w:rPr>
      </w:pPr>
    </w:p>
    <w:p w14:paraId="685198BE" w14:textId="77777777" w:rsidR="008D2CC4" w:rsidRPr="008D2CC4" w:rsidRDefault="008D2CC4" w:rsidP="008D2CC4">
      <w:pPr>
        <w:spacing w:after="0" w:line="240" w:lineRule="auto"/>
        <w:jc w:val="both"/>
        <w:rPr>
          <w:rFonts w:ascii="Times New Roman" w:hAnsi="Times New Roman" w:cs="Times New Roman"/>
        </w:rPr>
      </w:pPr>
      <w:r w:rsidRPr="008D2CC4">
        <w:rPr>
          <w:rFonts w:ascii="Times New Roman" w:hAnsi="Times New Roman" w:cs="Times New Roman"/>
        </w:rPr>
        <w:t>Observaciones:</w:t>
      </w:r>
    </w:p>
    <w:p w14:paraId="2DE5B9AB" w14:textId="77777777" w:rsidR="008D2CC4" w:rsidRPr="008D2CC4" w:rsidRDefault="008D2CC4" w:rsidP="008D2CC4">
      <w:pPr>
        <w:pStyle w:val="Prrafodelista"/>
        <w:numPr>
          <w:ilvl w:val="0"/>
          <w:numId w:val="2"/>
        </w:numPr>
        <w:spacing w:after="0" w:line="240" w:lineRule="auto"/>
        <w:jc w:val="both"/>
        <w:rPr>
          <w:rFonts w:ascii="Times New Roman" w:hAnsi="Times New Roman" w:cs="Times New Roman"/>
        </w:rPr>
      </w:pPr>
      <w:r w:rsidRPr="008D2CC4">
        <w:rPr>
          <w:rFonts w:ascii="Times New Roman" w:hAnsi="Times New Roman" w:cs="Times New Roman"/>
        </w:rPr>
        <w:t xml:space="preserve"> Debe traer impreso y visible fecha de manufactura, número de lote, país de origen y marca de fábrica. </w:t>
      </w:r>
    </w:p>
    <w:p w14:paraId="7AA3D72A" w14:textId="60F83A69" w:rsidR="008D2CC4" w:rsidRPr="008D2CC4" w:rsidRDefault="008D2CC4" w:rsidP="008D2CC4">
      <w:pPr>
        <w:pStyle w:val="Prrafodelista"/>
        <w:numPr>
          <w:ilvl w:val="0"/>
          <w:numId w:val="2"/>
        </w:numPr>
        <w:spacing w:after="0" w:line="240" w:lineRule="auto"/>
        <w:jc w:val="both"/>
        <w:rPr>
          <w:rFonts w:ascii="Times New Roman" w:hAnsi="Times New Roman" w:cs="Times New Roman"/>
        </w:rPr>
      </w:pPr>
      <w:r w:rsidRPr="008D2CC4">
        <w:rPr>
          <w:rFonts w:ascii="Times New Roman" w:hAnsi="Times New Roman" w:cs="Times New Roman"/>
        </w:rPr>
        <w:t>Cumplir con los estándares internacionales de aseguramiento de la calidad y comercialización.</w:t>
      </w:r>
    </w:p>
    <w:sectPr w:rsidR="008D2CC4" w:rsidRPr="008D2CC4">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F341B" w14:textId="77777777" w:rsidR="00190D98" w:rsidRDefault="00190D98" w:rsidP="008D2CC4">
      <w:pPr>
        <w:spacing w:after="0" w:line="240" w:lineRule="auto"/>
      </w:pPr>
      <w:r>
        <w:separator/>
      </w:r>
    </w:p>
  </w:endnote>
  <w:endnote w:type="continuationSeparator" w:id="0">
    <w:p w14:paraId="4DFDE190" w14:textId="77777777" w:rsidR="00190D98" w:rsidRDefault="00190D98" w:rsidP="008D2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A507" w14:textId="101D47D2" w:rsidR="008D2CC4" w:rsidRPr="008D2CC4" w:rsidRDefault="008D2CC4">
    <w:pPr>
      <w:pStyle w:val="Piedepgina"/>
      <w:rPr>
        <w:lang w:val="es-ES"/>
      </w:rPr>
    </w:pPr>
    <w:r>
      <w:rPr>
        <w:lang w:val="es-ES"/>
      </w:rPr>
      <w:t>Homol/ION/05-08-26/9:00/ya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B0BC" w14:textId="77777777" w:rsidR="00190D98" w:rsidRDefault="00190D98" w:rsidP="008D2CC4">
      <w:pPr>
        <w:spacing w:after="0" w:line="240" w:lineRule="auto"/>
      </w:pPr>
      <w:r>
        <w:separator/>
      </w:r>
    </w:p>
  </w:footnote>
  <w:footnote w:type="continuationSeparator" w:id="0">
    <w:p w14:paraId="17834D3A" w14:textId="77777777" w:rsidR="00190D98" w:rsidRDefault="00190D98" w:rsidP="008D2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22CA2"/>
    <w:multiLevelType w:val="hybridMultilevel"/>
    <w:tmpl w:val="685857A0"/>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15:restartNumberingAfterBreak="0">
    <w:nsid w:val="45593B62"/>
    <w:multiLevelType w:val="hybridMultilevel"/>
    <w:tmpl w:val="B96843C8"/>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num w:numId="1" w16cid:durableId="893539405">
    <w:abstractNumId w:val="1"/>
  </w:num>
  <w:num w:numId="2" w16cid:durableId="752632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C4"/>
    <w:rsid w:val="00190D98"/>
    <w:rsid w:val="002678B8"/>
    <w:rsid w:val="00285FCB"/>
    <w:rsid w:val="003A4CE6"/>
    <w:rsid w:val="008D2CC4"/>
    <w:rsid w:val="00A403B1"/>
    <w:rsid w:val="00F16027"/>
    <w:rsid w:val="00FA15B8"/>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97E68"/>
  <w15:chartTrackingRefBased/>
  <w15:docId w15:val="{0DFD9D4C-B991-4A34-B183-891FA20A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2C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D2C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D2CC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D2CC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D2CC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D2CC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2CC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2CC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2CC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2CC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D2CC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D2CC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D2CC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D2CC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D2CC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2CC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2CC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2CC4"/>
    <w:rPr>
      <w:rFonts w:eastAsiaTheme="majorEastAsia" w:cstheme="majorBidi"/>
      <w:color w:val="272727" w:themeColor="text1" w:themeTint="D8"/>
    </w:rPr>
  </w:style>
  <w:style w:type="paragraph" w:styleId="Ttulo">
    <w:name w:val="Title"/>
    <w:basedOn w:val="Normal"/>
    <w:next w:val="Normal"/>
    <w:link w:val="TtuloCar"/>
    <w:uiPriority w:val="10"/>
    <w:qFormat/>
    <w:rsid w:val="008D2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2CC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2CC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2CC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2CC4"/>
    <w:pPr>
      <w:spacing w:before="160"/>
      <w:jc w:val="center"/>
    </w:pPr>
    <w:rPr>
      <w:i/>
      <w:iCs/>
      <w:color w:val="404040" w:themeColor="text1" w:themeTint="BF"/>
    </w:rPr>
  </w:style>
  <w:style w:type="character" w:customStyle="1" w:styleId="CitaCar">
    <w:name w:val="Cita Car"/>
    <w:basedOn w:val="Fuentedeprrafopredeter"/>
    <w:link w:val="Cita"/>
    <w:uiPriority w:val="29"/>
    <w:rsid w:val="008D2CC4"/>
    <w:rPr>
      <w:i/>
      <w:iCs/>
      <w:color w:val="404040" w:themeColor="text1" w:themeTint="BF"/>
    </w:rPr>
  </w:style>
  <w:style w:type="paragraph" w:styleId="Prrafodelista">
    <w:name w:val="List Paragraph"/>
    <w:basedOn w:val="Normal"/>
    <w:uiPriority w:val="34"/>
    <w:qFormat/>
    <w:rsid w:val="008D2CC4"/>
    <w:pPr>
      <w:ind w:left="720"/>
      <w:contextualSpacing/>
    </w:pPr>
  </w:style>
  <w:style w:type="character" w:styleId="nfasisintenso">
    <w:name w:val="Intense Emphasis"/>
    <w:basedOn w:val="Fuentedeprrafopredeter"/>
    <w:uiPriority w:val="21"/>
    <w:qFormat/>
    <w:rsid w:val="008D2CC4"/>
    <w:rPr>
      <w:i/>
      <w:iCs/>
      <w:color w:val="2F5496" w:themeColor="accent1" w:themeShade="BF"/>
    </w:rPr>
  </w:style>
  <w:style w:type="paragraph" w:styleId="Citadestacada">
    <w:name w:val="Intense Quote"/>
    <w:basedOn w:val="Normal"/>
    <w:next w:val="Normal"/>
    <w:link w:val="CitadestacadaCar"/>
    <w:uiPriority w:val="30"/>
    <w:qFormat/>
    <w:rsid w:val="008D2C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D2CC4"/>
    <w:rPr>
      <w:i/>
      <w:iCs/>
      <w:color w:val="2F5496" w:themeColor="accent1" w:themeShade="BF"/>
    </w:rPr>
  </w:style>
  <w:style w:type="character" w:styleId="Referenciaintensa">
    <w:name w:val="Intense Reference"/>
    <w:basedOn w:val="Fuentedeprrafopredeter"/>
    <w:uiPriority w:val="32"/>
    <w:qFormat/>
    <w:rsid w:val="008D2CC4"/>
    <w:rPr>
      <w:b/>
      <w:bCs/>
      <w:smallCaps/>
      <w:color w:val="2F5496" w:themeColor="accent1" w:themeShade="BF"/>
      <w:spacing w:val="5"/>
    </w:rPr>
  </w:style>
  <w:style w:type="paragraph" w:styleId="Encabezado">
    <w:name w:val="header"/>
    <w:basedOn w:val="Normal"/>
    <w:link w:val="EncabezadoCar"/>
    <w:uiPriority w:val="99"/>
    <w:unhideWhenUsed/>
    <w:rsid w:val="008D2CC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D2CC4"/>
  </w:style>
  <w:style w:type="paragraph" w:styleId="Piedepgina">
    <w:name w:val="footer"/>
    <w:basedOn w:val="Normal"/>
    <w:link w:val="PiedepginaCar"/>
    <w:uiPriority w:val="99"/>
    <w:unhideWhenUsed/>
    <w:rsid w:val="008D2CC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D2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3049</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Yakira Araúz</dc:creator>
  <cp:keywords/>
  <dc:description/>
  <cp:lastModifiedBy>Yakira Araúz</cp:lastModifiedBy>
  <cp:revision>2</cp:revision>
  <cp:lastPrinted>2026-07-16T16:02:00Z</cp:lastPrinted>
  <dcterms:created xsi:type="dcterms:W3CDTF">2026-07-30T14:28:00Z</dcterms:created>
  <dcterms:modified xsi:type="dcterms:W3CDTF">2026-07-30T14:28:00Z</dcterms:modified>
</cp:coreProperties>
</file>