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AD8B" w14:textId="65A7E67F" w:rsidR="003A4CE6" w:rsidRPr="00B025AC" w:rsidRDefault="00B025AC" w:rsidP="00B025AC">
      <w:p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>BOMBA BIVENTRICULAR E INTERCAMBIADOR DE GASES HELICOIDAL PORTÁTIL</w:t>
      </w:r>
      <w:r>
        <w:rPr>
          <w:rFonts w:ascii="Times New Roman" w:hAnsi="Times New Roman" w:cs="Times New Roman"/>
          <w:sz w:val="24"/>
          <w:szCs w:val="24"/>
        </w:rPr>
        <w:t xml:space="preserve"> (formulario 23607).</w:t>
      </w:r>
    </w:p>
    <w:p w14:paraId="0856A331" w14:textId="24452DFE" w:rsidR="00B025AC" w:rsidRDefault="00B025AC" w:rsidP="00B025AC">
      <w:p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>Descripción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025AC">
        <w:rPr>
          <w:rFonts w:ascii="Times New Roman" w:hAnsi="Times New Roman" w:cs="Times New Roman"/>
          <w:sz w:val="24"/>
          <w:szCs w:val="24"/>
        </w:rPr>
        <w:tab/>
        <w:t>Para el soporte cardiopulmonar extracorpóreo en pacientes en shock cardiogénico, fibrilación ventricular refractaria, síndromes de distrés respiratorios agudos, insuficiencia cardíaca, o pacientes con alto riesgo para intervención coronaria.</w:t>
      </w:r>
    </w:p>
    <w:p w14:paraId="29E9CBD0" w14:textId="77777777" w:rsidR="00B025AC" w:rsidRPr="00B025AC" w:rsidRDefault="00B025AC" w:rsidP="00B025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19D87" w14:textId="77777777" w:rsidR="00B025AC" w:rsidRDefault="00B025AC" w:rsidP="00B025AC">
      <w:p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>Especificaciones Técnicas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74E538" w14:textId="77777777" w:rsidR="00B025AC" w:rsidRDefault="00B025AC" w:rsidP="00B025A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Unidad paciente: </w:t>
      </w:r>
    </w:p>
    <w:p w14:paraId="558CA30D" w14:textId="77777777" w:rsidR="00B025AC" w:rsidRDefault="00B025AC" w:rsidP="00B025AC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Bomba neumática con intercambiador de gases. </w:t>
      </w:r>
    </w:p>
    <w:p w14:paraId="41439AE7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Volumen de llenado 500 ml. </w:t>
      </w:r>
    </w:p>
    <w:p w14:paraId="44446D46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Tasa de Flujo Sanguíneo de 1 a 5 L/min. </w:t>
      </w:r>
    </w:p>
    <w:p w14:paraId="14D01866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Flujo de Gas de barrido de 0 a 20 L/min +/- 10%. </w:t>
      </w:r>
    </w:p>
    <w:p w14:paraId="1C295C56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Velocidad de transferencia de O2: 100 % de saturación de O2 a un flujo sanguíneo de 5 L/min, = o &gt; 60 ml de O2/min por L/min de flujo sanguíneo. </w:t>
      </w:r>
    </w:p>
    <w:p w14:paraId="69DFEDD1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Velocidad de transferencia del CO2: = o &gt; 50 ml de CO2/min por L/min de flujo sanguíneo. </w:t>
      </w:r>
    </w:p>
    <w:p w14:paraId="3036B8F0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Diferencia de presión (presión Delta) de intercambio de gases del lado de la sangre: 45 </w:t>
      </w:r>
      <w:proofErr w:type="spellStart"/>
      <w:r w:rsidRPr="00B025AC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B025AC">
        <w:rPr>
          <w:rFonts w:ascii="Times New Roman" w:hAnsi="Times New Roman" w:cs="Times New Roman"/>
          <w:sz w:val="24"/>
          <w:szCs w:val="24"/>
        </w:rPr>
        <w:t xml:space="preserve"> a un flujo sanguíneo de 5 L/min. </w:t>
      </w:r>
    </w:p>
    <w:p w14:paraId="4705B42F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Diferencia de presión (presión Delta) de intercambio de gases del lado de los gases: 10 </w:t>
      </w:r>
      <w:proofErr w:type="spellStart"/>
      <w:r w:rsidRPr="00B025AC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B025AC">
        <w:rPr>
          <w:rFonts w:ascii="Times New Roman" w:hAnsi="Times New Roman" w:cs="Times New Roman"/>
          <w:sz w:val="24"/>
          <w:szCs w:val="24"/>
        </w:rPr>
        <w:t xml:space="preserve"> a un flujo de gas de 20 L/min. </w:t>
      </w:r>
    </w:p>
    <w:p w14:paraId="27A5CE9E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Carcasa de la bomba de Metacrilato de metilo (MABS). </w:t>
      </w:r>
    </w:p>
    <w:p w14:paraId="13C4EDC9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Membrana de la bomba de Poliuretano (PU). </w:t>
      </w:r>
    </w:p>
    <w:p w14:paraId="3AC0B0B5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Carcasa del intercambiador de gases de Metacrilato de metilo (MABS). </w:t>
      </w:r>
    </w:p>
    <w:p w14:paraId="758FE2B8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Fibras del intercambiador de gases de </w:t>
      </w:r>
      <w:proofErr w:type="spellStart"/>
      <w:r w:rsidRPr="00B025AC">
        <w:rPr>
          <w:rFonts w:ascii="Times New Roman" w:hAnsi="Times New Roman" w:cs="Times New Roman"/>
          <w:sz w:val="24"/>
          <w:szCs w:val="24"/>
        </w:rPr>
        <w:t>Polimetilpenteno</w:t>
      </w:r>
      <w:proofErr w:type="spellEnd"/>
      <w:r w:rsidRPr="00B025AC">
        <w:rPr>
          <w:rFonts w:ascii="Times New Roman" w:hAnsi="Times New Roman" w:cs="Times New Roman"/>
          <w:sz w:val="24"/>
          <w:szCs w:val="24"/>
        </w:rPr>
        <w:t xml:space="preserve"> (PMP). </w:t>
      </w:r>
    </w:p>
    <w:p w14:paraId="7C23EDBD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Inyector del intercambiador de gases de Poliuretano (PU). </w:t>
      </w:r>
    </w:p>
    <w:p w14:paraId="360DF97B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Tubos conectores de Cloruro de polivinilo (PVC), silicona. </w:t>
      </w:r>
    </w:p>
    <w:p w14:paraId="1803B426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5AC">
        <w:rPr>
          <w:rFonts w:ascii="Times New Roman" w:hAnsi="Times New Roman" w:cs="Times New Roman"/>
          <w:sz w:val="24"/>
          <w:szCs w:val="24"/>
        </w:rPr>
        <w:t>Cánulacion</w:t>
      </w:r>
      <w:proofErr w:type="spellEnd"/>
      <w:r w:rsidRPr="00B0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5AC">
        <w:rPr>
          <w:rFonts w:ascii="Times New Roman" w:hAnsi="Times New Roman" w:cs="Times New Roman"/>
          <w:sz w:val="24"/>
          <w:szCs w:val="24"/>
        </w:rPr>
        <w:t>Percutanea</w:t>
      </w:r>
      <w:proofErr w:type="spellEnd"/>
      <w:r w:rsidRPr="00B025AC">
        <w:rPr>
          <w:rFonts w:ascii="Times New Roman" w:hAnsi="Times New Roman" w:cs="Times New Roman"/>
          <w:sz w:val="24"/>
          <w:szCs w:val="24"/>
        </w:rPr>
        <w:t xml:space="preserve"> Arteria/Vena, Vena/Vena, con configuración </w:t>
      </w:r>
      <w:proofErr w:type="spellStart"/>
      <w:r w:rsidRPr="00B025AC">
        <w:rPr>
          <w:rFonts w:ascii="Times New Roman" w:hAnsi="Times New Roman" w:cs="Times New Roman"/>
          <w:sz w:val="24"/>
          <w:szCs w:val="24"/>
        </w:rPr>
        <w:t>fémoro</w:t>
      </w:r>
      <w:proofErr w:type="spellEnd"/>
      <w:r w:rsidRPr="00B025AC">
        <w:rPr>
          <w:rFonts w:ascii="Times New Roman" w:hAnsi="Times New Roman" w:cs="Times New Roman"/>
          <w:sz w:val="24"/>
          <w:szCs w:val="24"/>
        </w:rPr>
        <w:t xml:space="preserve">-femoral, </w:t>
      </w:r>
      <w:proofErr w:type="spellStart"/>
      <w:r w:rsidRPr="00B025AC">
        <w:rPr>
          <w:rFonts w:ascii="Times New Roman" w:hAnsi="Times New Roman" w:cs="Times New Roman"/>
          <w:sz w:val="24"/>
          <w:szCs w:val="24"/>
        </w:rPr>
        <w:t>fémoro</w:t>
      </w:r>
      <w:proofErr w:type="spellEnd"/>
      <w:r w:rsidRPr="00B025AC">
        <w:rPr>
          <w:rFonts w:ascii="Times New Roman" w:hAnsi="Times New Roman" w:cs="Times New Roman"/>
          <w:sz w:val="24"/>
          <w:szCs w:val="24"/>
        </w:rPr>
        <w:t xml:space="preserve">-yugular y yugular doble luz. </w:t>
      </w:r>
    </w:p>
    <w:p w14:paraId="572680AE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Conexiones de cánulas de 3,8 pulgadas. </w:t>
      </w:r>
    </w:p>
    <w:p w14:paraId="4BFFE35C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Energía neumática. </w:t>
      </w:r>
    </w:p>
    <w:p w14:paraId="3786E4D6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Tiempo de funcionamiento de 14 días. </w:t>
      </w:r>
    </w:p>
    <w:p w14:paraId="4DBDF09B" w14:textId="248E8D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>Estéril</w:t>
      </w:r>
      <w:r w:rsidRPr="00B025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4FDE0" w14:textId="77777777" w:rsidR="00B025AC" w:rsidRDefault="00B025AC" w:rsidP="00B025AC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Un solo uso. </w:t>
      </w:r>
    </w:p>
    <w:p w14:paraId="5B068617" w14:textId="77777777" w:rsidR="00B025AC" w:rsidRDefault="00B025AC" w:rsidP="00B025AC">
      <w:pPr>
        <w:pStyle w:val="Prrafodelista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2896626A" w14:textId="201BBC53" w:rsidR="00B025AC" w:rsidRDefault="00B025AC" w:rsidP="00B025AC">
      <w:pPr>
        <w:pStyle w:val="Prrafodelista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ACCESORIOS </w:t>
      </w:r>
    </w:p>
    <w:p w14:paraId="236435A5" w14:textId="77777777" w:rsidR="00B025AC" w:rsidRPr="00B025AC" w:rsidRDefault="00B025AC" w:rsidP="00B025AC">
      <w:pPr>
        <w:pStyle w:val="Prrafodelista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2E025890" w14:textId="77777777" w:rsidR="00B025AC" w:rsidRDefault="00B025AC" w:rsidP="00B025A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 Unidad de Control para gestionar flujos de gases y sangre con mezclador integrado. </w:t>
      </w:r>
    </w:p>
    <w:p w14:paraId="0BFCE6FB" w14:textId="2C27BC8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Conexión de gas de 3-5 bar con consumo hasta 30 L/min. </w:t>
      </w:r>
    </w:p>
    <w:p w14:paraId="7DDB6A06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Alarma acústica de 55 dB a un metro de distancia. </w:t>
      </w:r>
    </w:p>
    <w:p w14:paraId="4586CDEE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5 años de vida útil. </w:t>
      </w:r>
    </w:p>
    <w:p w14:paraId="12934ACA" w14:textId="77777777" w:rsidR="00B025AC" w:rsidRDefault="00B025AC" w:rsidP="00B025A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lastRenderedPageBreak/>
        <w:t xml:space="preserve"> Calentador de tubos </w:t>
      </w:r>
    </w:p>
    <w:p w14:paraId="32F1841D" w14:textId="48A2C98F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Conexión de 100-240 V CA, 50/60 Hz </w:t>
      </w:r>
    </w:p>
    <w:p w14:paraId="62F7F029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Consumo de energía </w:t>
      </w:r>
      <w:proofErr w:type="spellStart"/>
      <w:r w:rsidRPr="00B025AC">
        <w:rPr>
          <w:rFonts w:ascii="Times New Roman" w:hAnsi="Times New Roman" w:cs="Times New Roman"/>
          <w:sz w:val="24"/>
          <w:szCs w:val="24"/>
        </w:rPr>
        <w:t>máx</w:t>
      </w:r>
      <w:proofErr w:type="spellEnd"/>
      <w:r w:rsidRPr="00B025AC">
        <w:rPr>
          <w:rFonts w:ascii="Times New Roman" w:hAnsi="Times New Roman" w:cs="Times New Roman"/>
          <w:sz w:val="24"/>
          <w:szCs w:val="24"/>
        </w:rPr>
        <w:t xml:space="preserve"> de 115-139 VA. </w:t>
      </w:r>
    </w:p>
    <w:p w14:paraId="66CCA9D3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Fusible de 2,5 A de acción lenta. </w:t>
      </w:r>
    </w:p>
    <w:p w14:paraId="115E040B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Ajuste de temperatura +42 °C. </w:t>
      </w:r>
    </w:p>
    <w:p w14:paraId="38255252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Precisión de control +/- 2,0 °C. </w:t>
      </w:r>
    </w:p>
    <w:p w14:paraId="2C28331A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Control de Perfil térmico de </w:t>
      </w:r>
      <w:proofErr w:type="spellStart"/>
      <w:r w:rsidRPr="00B025AC">
        <w:rPr>
          <w:rFonts w:ascii="Times New Roman" w:hAnsi="Times New Roman" w:cs="Times New Roman"/>
          <w:sz w:val="24"/>
          <w:szCs w:val="24"/>
        </w:rPr>
        <w:t>sobretemperatura</w:t>
      </w:r>
      <w:proofErr w:type="spellEnd"/>
      <w:r w:rsidRPr="00B025AC">
        <w:rPr>
          <w:rFonts w:ascii="Times New Roman" w:hAnsi="Times New Roman" w:cs="Times New Roman"/>
          <w:sz w:val="24"/>
          <w:szCs w:val="24"/>
        </w:rPr>
        <w:t xml:space="preserve"> de +/- 46 °C +/-10 °C </w:t>
      </w:r>
    </w:p>
    <w:p w14:paraId="07DC91FB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Tiempo de calentamiento de +/- 20 °C a +/- 42 °C en 10 min. </w:t>
      </w:r>
    </w:p>
    <w:p w14:paraId="332C5DEE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Funcionamiento continuo. </w:t>
      </w:r>
    </w:p>
    <w:p w14:paraId="5531E8F9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AC">
        <w:rPr>
          <w:rFonts w:ascii="Times New Roman" w:hAnsi="Times New Roman" w:cs="Times New Roman"/>
          <w:sz w:val="24"/>
          <w:szCs w:val="24"/>
        </w:rPr>
        <w:t xml:space="preserve">Clase de protección I- puesta a tierra de protección. </w:t>
      </w:r>
    </w:p>
    <w:p w14:paraId="21979FAA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Grado de protección BF; aplicación externa e interna a prueba de desfibriladores en pacientes. </w:t>
      </w:r>
    </w:p>
    <w:p w14:paraId="46D88004" w14:textId="77777777" w:rsid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 xml:space="preserve">Presión de aire de 700 a 1060 hPa. </w:t>
      </w:r>
    </w:p>
    <w:p w14:paraId="24286A50" w14:textId="1932A45F" w:rsidR="00B025AC" w:rsidRPr="00B025AC" w:rsidRDefault="00B025AC" w:rsidP="00B025AC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>Protección contra la humedad IP X2.</w:t>
      </w:r>
    </w:p>
    <w:p w14:paraId="7DA054F8" w14:textId="77777777" w:rsidR="00B025AC" w:rsidRPr="00B025AC" w:rsidRDefault="00B025AC" w:rsidP="00B025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EA460" w14:textId="1B22CB47" w:rsidR="00B025AC" w:rsidRPr="00B025AC" w:rsidRDefault="00B025AC" w:rsidP="00B025AC">
      <w:pPr>
        <w:jc w:val="both"/>
        <w:rPr>
          <w:rFonts w:ascii="Times New Roman" w:hAnsi="Times New Roman" w:cs="Times New Roman"/>
          <w:sz w:val="24"/>
          <w:szCs w:val="24"/>
        </w:rPr>
      </w:pPr>
      <w:r w:rsidRPr="00B025AC">
        <w:rPr>
          <w:rFonts w:ascii="Times New Roman" w:hAnsi="Times New Roman" w:cs="Times New Roman"/>
          <w:sz w:val="24"/>
          <w:szCs w:val="24"/>
        </w:rPr>
        <w:t>Observaciones Especiales y/o Condiciones de Uso</w:t>
      </w:r>
      <w:r w:rsidRPr="00B025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25AC">
        <w:rPr>
          <w:rFonts w:ascii="Times New Roman" w:hAnsi="Times New Roman" w:cs="Times New Roman"/>
          <w:sz w:val="24"/>
          <w:szCs w:val="24"/>
        </w:rPr>
        <w:t>Esteril</w:t>
      </w:r>
      <w:proofErr w:type="spellEnd"/>
      <w:r w:rsidRPr="00B025AC">
        <w:rPr>
          <w:rFonts w:ascii="Times New Roman" w:hAnsi="Times New Roman" w:cs="Times New Roman"/>
          <w:sz w:val="24"/>
          <w:szCs w:val="24"/>
        </w:rPr>
        <w:t>. De un solo uso.</w:t>
      </w:r>
    </w:p>
    <w:sectPr w:rsidR="00B025AC" w:rsidRPr="00B025A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3728" w14:textId="77777777" w:rsidR="007D1089" w:rsidRDefault="007D1089" w:rsidP="00B025AC">
      <w:pPr>
        <w:spacing w:after="0" w:line="240" w:lineRule="auto"/>
      </w:pPr>
      <w:r>
        <w:separator/>
      </w:r>
    </w:p>
  </w:endnote>
  <w:endnote w:type="continuationSeparator" w:id="0">
    <w:p w14:paraId="7C199F57" w14:textId="77777777" w:rsidR="007D1089" w:rsidRDefault="007D1089" w:rsidP="00B0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4998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5D33E1" w14:textId="3AF3A00D" w:rsidR="00B025AC" w:rsidRDefault="00B025A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1B549B" w14:textId="70E04D0C" w:rsidR="00B025AC" w:rsidRDefault="00B025AC">
    <w:pPr>
      <w:pStyle w:val="Piedepgina"/>
    </w:pPr>
    <w:r>
      <w:t>Homologación/MQ/HN/11:00 A.M./ya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198A" w14:textId="77777777" w:rsidR="007D1089" w:rsidRDefault="007D1089" w:rsidP="00B025AC">
      <w:pPr>
        <w:spacing w:after="0" w:line="240" w:lineRule="auto"/>
      </w:pPr>
      <w:r>
        <w:separator/>
      </w:r>
    </w:p>
  </w:footnote>
  <w:footnote w:type="continuationSeparator" w:id="0">
    <w:p w14:paraId="31175E0E" w14:textId="77777777" w:rsidR="007D1089" w:rsidRDefault="007D1089" w:rsidP="00B02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5A8B"/>
    <w:multiLevelType w:val="multilevel"/>
    <w:tmpl w:val="F5CAE14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" w15:restartNumberingAfterBreak="0">
    <w:nsid w:val="26705BDD"/>
    <w:multiLevelType w:val="multilevel"/>
    <w:tmpl w:val="FBBAC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07522069">
    <w:abstractNumId w:val="1"/>
  </w:num>
  <w:num w:numId="2" w16cid:durableId="167452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AC"/>
    <w:rsid w:val="002678B8"/>
    <w:rsid w:val="003A4CE6"/>
    <w:rsid w:val="00440DA6"/>
    <w:rsid w:val="007D1089"/>
    <w:rsid w:val="00AA0203"/>
    <w:rsid w:val="00B025AC"/>
    <w:rsid w:val="00C6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92092"/>
  <w15:chartTrackingRefBased/>
  <w15:docId w15:val="{00F5AF27-6492-4718-BDC5-0DDF2913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2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2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2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2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2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2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2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2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2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25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25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2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25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2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2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2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25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25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25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2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25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25A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2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5AC"/>
  </w:style>
  <w:style w:type="paragraph" w:styleId="Piedepgina">
    <w:name w:val="footer"/>
    <w:basedOn w:val="Normal"/>
    <w:link w:val="PiedepginaCar"/>
    <w:uiPriority w:val="99"/>
    <w:unhideWhenUsed/>
    <w:rsid w:val="00B02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2225</Characters>
  <Application>Microsoft Office Word</Application>
  <DocSecurity>0</DocSecurity>
  <Lines>28</Lines>
  <Paragraphs>16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2</cp:revision>
  <cp:lastPrinted>2026-02-03T19:37:00Z</cp:lastPrinted>
  <dcterms:created xsi:type="dcterms:W3CDTF">2026-02-03T19:42:00Z</dcterms:created>
  <dcterms:modified xsi:type="dcterms:W3CDTF">2026-02-03T19:42:00Z</dcterms:modified>
</cp:coreProperties>
</file>