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B457" w14:textId="17EE2F61" w:rsidR="003A4CE6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0A" w:rsidRPr="00B61C0A">
        <w:rPr>
          <w:rFonts w:ascii="Times New Roman" w:hAnsi="Times New Roman" w:cs="Times New Roman"/>
          <w:sz w:val="24"/>
          <w:szCs w:val="24"/>
        </w:rPr>
        <w:t>BOMBA DE INFUSIÓN PARA ALIMENTACIÓN ENTERAL</w:t>
      </w:r>
      <w:r>
        <w:rPr>
          <w:rFonts w:ascii="Times New Roman" w:hAnsi="Times New Roman" w:cs="Times New Roman"/>
          <w:sz w:val="24"/>
          <w:szCs w:val="24"/>
        </w:rPr>
        <w:t xml:space="preserve"> (formulario 10765).</w:t>
      </w:r>
    </w:p>
    <w:p w14:paraId="345CFDA0" w14:textId="77777777" w:rsidR="00DB24EF" w:rsidRPr="00B61C0A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EE661" w14:textId="3C802A5F" w:rsidR="00B61C0A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B61C0A" w:rsidRPr="00B61C0A">
        <w:rPr>
          <w:rFonts w:ascii="Times New Roman" w:hAnsi="Times New Roman" w:cs="Times New Roman"/>
          <w:sz w:val="24"/>
          <w:szCs w:val="24"/>
        </w:rPr>
        <w:t>Para administrar fórmulas enterales de forma continua o a intervalos.</w:t>
      </w:r>
    </w:p>
    <w:p w14:paraId="6D90951C" w14:textId="77777777" w:rsidR="00DB24EF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58E51" w14:textId="785F82C9" w:rsidR="00DB24EF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Especificaciones técnicas: </w:t>
      </w:r>
    </w:p>
    <w:p w14:paraId="652B27A0" w14:textId="77777777" w:rsidR="00DB24EF" w:rsidRPr="00B61C0A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AA36F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</w:t>
      </w:r>
      <w:r w:rsidRPr="00B61C0A">
        <w:rPr>
          <w:rFonts w:ascii="Times New Roman" w:hAnsi="Times New Roman" w:cs="Times New Roman"/>
          <w:sz w:val="24"/>
          <w:szCs w:val="24"/>
        </w:rPr>
        <w:tab/>
        <w:t>Método o mecanismo de infusión o bombeo peristáltico rotatorio.</w:t>
      </w:r>
    </w:p>
    <w:p w14:paraId="044CB21E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Precisión de dosis: no mayor de 10% del flujo seleccionado. </w:t>
      </w:r>
    </w:p>
    <w:p w14:paraId="0D59E5BE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3.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Velocidad de flujo o rango de funcionamiento: de 5 ml/hora o menos a 290 ml/hora o más, en incrementos entre 1ml y 5ml/horas. </w:t>
      </w:r>
    </w:p>
    <w:p w14:paraId="4CCF7061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4.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Volumen o dosis de infusión a ser administrado: de 1ml a 2000 ml o más.  Con incremento entre 1ml y 5ml. </w:t>
      </w:r>
    </w:p>
    <w:p w14:paraId="4D172895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5.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Que muestre en pantalla el registro del volumen total administrado </w:t>
      </w:r>
    </w:p>
    <w:p w14:paraId="0C7CB2D3" w14:textId="0C36A2CF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6.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Presión de oclusión: no exceda de 22psi (151kpa, 1,138mmHg) </w:t>
      </w:r>
    </w:p>
    <w:p w14:paraId="26E50233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7.</w:t>
      </w:r>
      <w:r w:rsidRPr="00B61C0A">
        <w:rPr>
          <w:rFonts w:ascii="Times New Roman" w:hAnsi="Times New Roman" w:cs="Times New Roman"/>
          <w:sz w:val="24"/>
          <w:szCs w:val="24"/>
        </w:rPr>
        <w:tab/>
        <w:t>Batería de respaldo con carga mínima de 6 horas.</w:t>
      </w:r>
    </w:p>
    <w:p w14:paraId="3A92252F" w14:textId="77777777" w:rsid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8.</w:t>
      </w:r>
      <w:r w:rsidRPr="00B61C0A">
        <w:rPr>
          <w:rFonts w:ascii="Times New Roman" w:hAnsi="Times New Roman" w:cs="Times New Roman"/>
          <w:sz w:val="24"/>
          <w:szCs w:val="24"/>
        </w:rPr>
        <w:tab/>
        <w:t>Dimensiones: entre 4 y 20 cm de alto; entre 12 y 25 cm de ancho; entre 7 y 15 cm de profundidad.</w:t>
      </w:r>
    </w:p>
    <w:p w14:paraId="1D8562AF" w14:textId="479E299F" w:rsidR="00693CE0" w:rsidRPr="00693CE0" w:rsidRDefault="00693CE0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Dimensiones: entre 4 y 20 cm de alto; entre 10 y 25 cm de ancho; entre 4 y 17 cm de profundidad.</w:t>
      </w:r>
    </w:p>
    <w:p w14:paraId="13A960EE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9.</w:t>
      </w:r>
      <w:r w:rsidRPr="00B61C0A">
        <w:rPr>
          <w:rFonts w:ascii="Times New Roman" w:hAnsi="Times New Roman" w:cs="Times New Roman"/>
          <w:sz w:val="24"/>
          <w:szCs w:val="24"/>
        </w:rPr>
        <w:tab/>
        <w:t>Peso de la Bomba: entre 0.4 kg y 4 kg.</w:t>
      </w:r>
    </w:p>
    <w:p w14:paraId="63F850AB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10.</w:t>
      </w:r>
      <w:r w:rsidRPr="00B61C0A">
        <w:rPr>
          <w:rFonts w:ascii="Times New Roman" w:hAnsi="Times New Roman" w:cs="Times New Roman"/>
          <w:sz w:val="24"/>
          <w:szCs w:val="24"/>
        </w:rPr>
        <w:tab/>
        <w:t>Material: plástico o policarbonato y mezcla de ABS en la carcasa.</w:t>
      </w:r>
    </w:p>
    <w:p w14:paraId="483B9187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11.</w:t>
      </w:r>
      <w:r w:rsidRPr="00B61C0A">
        <w:rPr>
          <w:rFonts w:ascii="Times New Roman" w:hAnsi="Times New Roman" w:cs="Times New Roman"/>
          <w:sz w:val="24"/>
          <w:szCs w:val="24"/>
        </w:rPr>
        <w:tab/>
        <w:t>Con mecanismo de sujeción para poste o atril.</w:t>
      </w:r>
    </w:p>
    <w:p w14:paraId="304AC6FA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12.</w:t>
      </w:r>
      <w:r w:rsidRPr="00B61C0A">
        <w:rPr>
          <w:rFonts w:ascii="Times New Roman" w:hAnsi="Times New Roman" w:cs="Times New Roman"/>
          <w:sz w:val="24"/>
          <w:szCs w:val="24"/>
        </w:rPr>
        <w:tab/>
        <w:t>Memoria (con recuperación automática de los parámetros preestablecidos).</w:t>
      </w:r>
    </w:p>
    <w:p w14:paraId="3FC043FB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13.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Con pantalla de visualización LED o LCD. </w:t>
      </w:r>
    </w:p>
    <w:p w14:paraId="4DFCC1E2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14.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Alimentación Eléctrica: 110-120 V (60Hz) </w:t>
      </w:r>
    </w:p>
    <w:p w14:paraId="74A6E2CD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</w:t>
      </w:r>
      <w:r w:rsidRPr="00B61C0A">
        <w:rPr>
          <w:rFonts w:ascii="Times New Roman" w:hAnsi="Times New Roman" w:cs="Times New Roman"/>
          <w:sz w:val="24"/>
          <w:szCs w:val="24"/>
        </w:rPr>
        <w:tab/>
        <w:t>Alarmas:</w:t>
      </w:r>
    </w:p>
    <w:p w14:paraId="4157BB4C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15.1.</w:t>
      </w:r>
      <w:r w:rsidRPr="00B61C0A">
        <w:rPr>
          <w:rFonts w:ascii="Times New Roman" w:hAnsi="Times New Roman" w:cs="Times New Roman"/>
          <w:sz w:val="24"/>
          <w:szCs w:val="24"/>
        </w:rPr>
        <w:tab/>
        <w:t>Audibles y visibles.</w:t>
      </w:r>
    </w:p>
    <w:p w14:paraId="5DB930F1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15.2.</w:t>
      </w:r>
      <w:r w:rsidRPr="00B61C0A">
        <w:rPr>
          <w:rFonts w:ascii="Times New Roman" w:hAnsi="Times New Roman" w:cs="Times New Roman"/>
          <w:sz w:val="24"/>
          <w:szCs w:val="24"/>
        </w:rPr>
        <w:tab/>
        <w:t>Batería baja.</w:t>
      </w:r>
    </w:p>
    <w:p w14:paraId="249781B1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15.3.</w:t>
      </w:r>
      <w:r w:rsidRPr="00B61C0A">
        <w:rPr>
          <w:rFonts w:ascii="Times New Roman" w:hAnsi="Times New Roman" w:cs="Times New Roman"/>
          <w:sz w:val="24"/>
          <w:szCs w:val="24"/>
        </w:rPr>
        <w:tab/>
        <w:t>Oclusión o flujo.</w:t>
      </w:r>
    </w:p>
    <w:p w14:paraId="63572B9B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15.4.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Pausa. </w:t>
      </w:r>
    </w:p>
    <w:p w14:paraId="2230BE04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15.5.</w:t>
      </w:r>
      <w:r w:rsidRPr="00B61C0A">
        <w:rPr>
          <w:rFonts w:ascii="Times New Roman" w:hAnsi="Times New Roman" w:cs="Times New Roman"/>
          <w:sz w:val="24"/>
          <w:szCs w:val="24"/>
        </w:rPr>
        <w:tab/>
        <w:t>Recipiente vacío o error de flujo.</w:t>
      </w:r>
    </w:p>
    <w:p w14:paraId="324BD322" w14:textId="42F657B9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15.6.</w:t>
      </w:r>
      <w:r w:rsidRPr="00B61C0A">
        <w:rPr>
          <w:rFonts w:ascii="Times New Roman" w:hAnsi="Times New Roman" w:cs="Times New Roman"/>
          <w:sz w:val="24"/>
          <w:szCs w:val="24"/>
        </w:rPr>
        <w:tab/>
        <w:t>Finalización de infusión o volumen total administrado (VTBD).</w:t>
      </w:r>
    </w:p>
    <w:p w14:paraId="005618A8" w14:textId="77777777" w:rsidR="00B61C0A" w:rsidRPr="00B61C0A" w:rsidRDefault="00B61C0A" w:rsidP="00B61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2B0DE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Observaciones de las bolsas (accesorios)</w:t>
      </w:r>
    </w:p>
    <w:p w14:paraId="17E80C05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Debe traer impreso y visible fecha de manufactura, número de lote, país de origen y marca de fábrica. </w:t>
      </w:r>
    </w:p>
    <w:p w14:paraId="3C21C75A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</w:t>
      </w:r>
      <w:r w:rsidRPr="00B61C0A">
        <w:rPr>
          <w:rFonts w:ascii="Times New Roman" w:hAnsi="Times New Roman" w:cs="Times New Roman"/>
          <w:sz w:val="24"/>
          <w:szCs w:val="24"/>
        </w:rPr>
        <w:tab/>
        <w:t>Cumplir con los estándares internacionales de aseguramiento de la calidad y comercialización.</w:t>
      </w:r>
    </w:p>
    <w:p w14:paraId="76E98FA0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937D559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Observaciones para el pliego de cargo (equipo):</w:t>
      </w:r>
    </w:p>
    <w:p w14:paraId="6E00AAA5" w14:textId="2A2B0B4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 Garantía de tres (3) años mínimo en piezas y mano de obra a partir de la fecha de aceptación a satisfacción.</w:t>
      </w:r>
    </w:p>
    <w:p w14:paraId="2A9F6AC3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 Dos (2) ejemplar del manual de operación y funcionamiento en español.</w:t>
      </w:r>
    </w:p>
    <w:p w14:paraId="40CF8731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3. Un (1) ejemplar del manual de Servicio técnico, el cual debe incluir lista de diagramas eléctricos y electrónicos.</w:t>
      </w:r>
    </w:p>
    <w:p w14:paraId="74824029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4. Presentar programa de mantenimiento preventivo para brindar cada 6 meses o cuando solicite la unidad ejecutora durante el período de garantía.</w:t>
      </w:r>
    </w:p>
    <w:p w14:paraId="43E44B2C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lastRenderedPageBreak/>
        <w:t>5. Brindar entrenamiento de operación, limpieza y desinfección, de 5 horas mínimo, al personal del servicio de enfermería, médico y técnico que tendrán a su cargo la operación del equipo.</w:t>
      </w:r>
    </w:p>
    <w:p w14:paraId="2824AE94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6. Ofrecer entrenamiento y reparación de 8 horas mínimo al personal de biomédica.</w:t>
      </w:r>
    </w:p>
    <w:p w14:paraId="224A2435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7. Certificación del fabricante donde se confirme disponibilidad de piezas de repuestos por un periodo mínimo de 7 años. </w:t>
      </w:r>
    </w:p>
    <w:p w14:paraId="115BC0D3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8. Certificación emitida por el fabricante de que el equipo es nuevo y no reconstruido.</w:t>
      </w:r>
    </w:p>
    <w:p w14:paraId="5BA1D8BE" w14:textId="080121A4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9. En caso de que una pieza no sea posible reemplazarla ni repararla por desperfecto de fábrica en el periodo de garantía, se reemplazará el equipo completo por uno nuevo.</w:t>
      </w:r>
    </w:p>
    <w:p w14:paraId="27DEABD4" w14:textId="77777777" w:rsidR="00B61C0A" w:rsidRDefault="00B61C0A" w:rsidP="00B61C0A"/>
    <w:p w14:paraId="602D8805" w14:textId="46686F54" w:rsidR="00B61C0A" w:rsidRDefault="00B61C0A" w:rsidP="00B61C0A">
      <w:pPr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Accesorios:</w:t>
      </w:r>
    </w:p>
    <w:p w14:paraId="315D0E7E" w14:textId="762D4359" w:rsidR="00B61C0A" w:rsidRDefault="00B61C0A" w:rsidP="00B61C0A">
      <w:pPr>
        <w:rPr>
          <w:rFonts w:ascii="Times New Roman" w:hAnsi="Times New Roman" w:cs="Times New Roman"/>
          <w:sz w:val="24"/>
          <w:szCs w:val="24"/>
        </w:rPr>
      </w:pPr>
    </w:p>
    <w:p w14:paraId="5B9CA2E5" w14:textId="77777777" w:rsidR="00B61C0A" w:rsidRDefault="00B61C0A" w:rsidP="00B61C0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Bolsa para alimentación enteral por bomba de infusión. </w:t>
      </w:r>
    </w:p>
    <w:p w14:paraId="6C024BBF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1.1. Transparente </w:t>
      </w:r>
    </w:p>
    <w:p w14:paraId="1A05643F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1.2. Material grado médico con graduación impresa en onzas o mililitros con tapa rígida. 1.3. Extensión con llave de control o con válvula reguladora de flujo (La institución escogerá). </w:t>
      </w:r>
    </w:p>
    <w:p w14:paraId="3F9EC431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1.4. Conector final cinco en uno (5 en 1) o conector 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Enfit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 xml:space="preserve">, que se adapte a cualquier tamaño de sonda </w:t>
      </w:r>
    </w:p>
    <w:p w14:paraId="56903C96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1.5. Con cámara de goteo o conector de identificación inteligente y gancho en aro para colgar. </w:t>
      </w:r>
    </w:p>
    <w:p w14:paraId="6E64FDDD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1.6. Capacidad de entre 500 ml (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>) y 2500 ml (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F0DF71" w14:textId="77777777" w:rsidR="00693CE0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1.7. Libre de DEHP. </w:t>
      </w:r>
    </w:p>
    <w:p w14:paraId="600176B4" w14:textId="24648938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1.8. Libre de látex.</w:t>
      </w:r>
    </w:p>
    <w:p w14:paraId="532B8F5D" w14:textId="77777777" w:rsidR="00B61C0A" w:rsidRDefault="00B61C0A" w:rsidP="00B61C0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Bolsa Doble para alimentación enteral e irrigación por bomba de infusión </w:t>
      </w:r>
    </w:p>
    <w:p w14:paraId="13B5C0B9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2.1. Transparente </w:t>
      </w:r>
    </w:p>
    <w:p w14:paraId="639F4CBB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2.2. Material grado médico con graduación impresa en onzas o mililitros con tapa rígida 2.3. Conector final cinco en uno (5 en 1) o conector 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Enfit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 xml:space="preserve">, que se adapte a cualquier tamaño de sonda </w:t>
      </w:r>
    </w:p>
    <w:p w14:paraId="16DB0C97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2.4. Con gancho o aro para colgar. </w:t>
      </w:r>
    </w:p>
    <w:p w14:paraId="52314AB5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2.5. Capacidad de entre 500 ml y 2500 ml (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72A234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2.6. Libre de DEHP. </w:t>
      </w:r>
    </w:p>
    <w:p w14:paraId="642E2D20" w14:textId="77777777" w:rsidR="00693CE0" w:rsidRDefault="00B61C0A" w:rsidP="00693CE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2.7. Libre de látex.</w:t>
      </w:r>
    </w:p>
    <w:p w14:paraId="7D0844D7" w14:textId="77777777" w:rsidR="00693CE0" w:rsidRPr="00693CE0" w:rsidRDefault="00693CE0" w:rsidP="00693CE0">
      <w:pPr>
        <w:pStyle w:val="Prrafodelista"/>
        <w:ind w:hanging="294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 Bolsa o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cassette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 para alimentación enteral por bomba de infusión. </w:t>
      </w:r>
    </w:p>
    <w:p w14:paraId="72267473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3.1. Transparente </w:t>
      </w:r>
    </w:p>
    <w:p w14:paraId="7D2D46E5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3.2. Con graduación impresa en onzas o mililitros con tapa rígida. </w:t>
      </w:r>
    </w:p>
    <w:p w14:paraId="7232E480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3.3. Conector final cinco en uno (5 en 1) o conector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Enfit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, que se adapte a cualquier tamaño de sonda </w:t>
      </w:r>
    </w:p>
    <w:p w14:paraId="126EC250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3.4. Capacidad de entre 500 ml (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cc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>) y 2500 ml (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cc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), con gancho o aro para colgar. </w:t>
      </w:r>
    </w:p>
    <w:p w14:paraId="1C693F47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3.5. Libre de DEHP. </w:t>
      </w:r>
    </w:p>
    <w:p w14:paraId="6E64866E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3.6. Libre de látex. </w:t>
      </w:r>
    </w:p>
    <w:p w14:paraId="1E7FFBBC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3.7. Libre de BPA </w:t>
      </w:r>
    </w:p>
    <w:p w14:paraId="33AF6EFA" w14:textId="6C4141A3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3.8 Material de policloruro de vinilo (PVC) y tubo de silicona transparente </w:t>
      </w:r>
    </w:p>
    <w:p w14:paraId="3EFC8730" w14:textId="0511AF35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lastRenderedPageBreak/>
        <w:t xml:space="preserve">3.9 Con o sin conector para formulas listas para colgar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ó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061548F0" w14:textId="77777777" w:rsidR="00693CE0" w:rsidRPr="00693CE0" w:rsidRDefault="00693CE0" w:rsidP="00693CE0">
      <w:pPr>
        <w:pStyle w:val="Prrafodelista"/>
        <w:ind w:hanging="153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4. Bolsa o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cassette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 Doble para alimentación enteral e irrigación por bomba de infusión </w:t>
      </w:r>
    </w:p>
    <w:p w14:paraId="68E52153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 4.1. Transparente </w:t>
      </w:r>
    </w:p>
    <w:p w14:paraId="5D841601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4.2. Con graduación impresa en onzas o mililitros con tapa rígida  </w:t>
      </w:r>
    </w:p>
    <w:p w14:paraId="3CB76967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4.3. Conector final cinco en uno (5 en 1) o conector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Enfit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>, que se adapte a cualquier tamaño de sonda  </w:t>
      </w:r>
    </w:p>
    <w:p w14:paraId="0FE54C3E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4.4. Con gancho o aro para colgar.</w:t>
      </w:r>
    </w:p>
    <w:p w14:paraId="5BB9DF98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4.5. Capacidad de entre 500 ml y 2500 ml (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cc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>).  </w:t>
      </w:r>
    </w:p>
    <w:p w14:paraId="606B45C4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4.6. Libre de DEHP. </w:t>
      </w:r>
    </w:p>
    <w:p w14:paraId="220A96E2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4.7. Libre de látex. </w:t>
      </w:r>
    </w:p>
    <w:p w14:paraId="5A288C5C" w14:textId="2CE6A100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4.8. Libre de BPA.</w:t>
      </w:r>
    </w:p>
    <w:p w14:paraId="4B4771EE" w14:textId="36C7DFEF" w:rsidR="00693CE0" w:rsidRPr="00693CE0" w:rsidRDefault="00693CE0" w:rsidP="00693CE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4.9. Material de policloruro de vinilo (PVC) y tubo de silicona transparente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93CE0" w:rsidRPr="00693CE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8ABB" w14:textId="77777777" w:rsidR="00AD6993" w:rsidRDefault="00AD6993" w:rsidP="00693CE0">
      <w:pPr>
        <w:spacing w:after="0" w:line="240" w:lineRule="auto"/>
      </w:pPr>
      <w:r>
        <w:separator/>
      </w:r>
    </w:p>
  </w:endnote>
  <w:endnote w:type="continuationSeparator" w:id="0">
    <w:p w14:paraId="61C3DCBB" w14:textId="77777777" w:rsidR="00AD6993" w:rsidRDefault="00AD6993" w:rsidP="0069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803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4B518F" w14:textId="7B1BED7A" w:rsidR="00693CE0" w:rsidRDefault="00693CE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6BF27" w14:textId="7591DD95" w:rsidR="00693CE0" w:rsidRDefault="00693CE0">
    <w:pPr>
      <w:pStyle w:val="Piedepgina"/>
    </w:pPr>
    <w:r>
      <w:t>Homologación/HST/</w:t>
    </w:r>
    <w:r w:rsidR="005A6CD0">
      <w:t>19</w:t>
    </w:r>
    <w:r>
      <w:t>-</w:t>
    </w:r>
    <w:r w:rsidR="005A6CD0">
      <w:t>6</w:t>
    </w:r>
    <w:r>
      <w:t>/9:00/</w:t>
    </w:r>
    <w:proofErr w:type="spellStart"/>
    <w:r w:rsidR="005A6CD0">
      <w:t>nr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74BB" w14:textId="77777777" w:rsidR="00AD6993" w:rsidRDefault="00AD6993" w:rsidP="00693CE0">
      <w:pPr>
        <w:spacing w:after="0" w:line="240" w:lineRule="auto"/>
      </w:pPr>
      <w:r>
        <w:separator/>
      </w:r>
    </w:p>
  </w:footnote>
  <w:footnote w:type="continuationSeparator" w:id="0">
    <w:p w14:paraId="05E379C3" w14:textId="77777777" w:rsidR="00AD6993" w:rsidRDefault="00AD6993" w:rsidP="00693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45A8"/>
    <w:multiLevelType w:val="hybridMultilevel"/>
    <w:tmpl w:val="F156081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3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0A"/>
    <w:rsid w:val="0003635D"/>
    <w:rsid w:val="000B4F05"/>
    <w:rsid w:val="00223037"/>
    <w:rsid w:val="002678B8"/>
    <w:rsid w:val="003A4CE6"/>
    <w:rsid w:val="005A6CD0"/>
    <w:rsid w:val="00693CE0"/>
    <w:rsid w:val="007317E1"/>
    <w:rsid w:val="008A4755"/>
    <w:rsid w:val="00AD6993"/>
    <w:rsid w:val="00B61C0A"/>
    <w:rsid w:val="00D83604"/>
    <w:rsid w:val="00DB24EF"/>
    <w:rsid w:val="00E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F9C89"/>
  <w15:chartTrackingRefBased/>
  <w15:docId w15:val="{76E3A0F8-BCEF-4867-BF98-DE18B05E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C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C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C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C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C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C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C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C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C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C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C0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CE0"/>
  </w:style>
  <w:style w:type="paragraph" w:styleId="Piedepgina">
    <w:name w:val="footer"/>
    <w:basedOn w:val="Normal"/>
    <w:link w:val="PiedepginaCar"/>
    <w:uiPriority w:val="99"/>
    <w:unhideWhenUsed/>
    <w:rsid w:val="0069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Nairoby Ruiz</cp:lastModifiedBy>
  <cp:revision>2</cp:revision>
  <dcterms:created xsi:type="dcterms:W3CDTF">2026-05-29T18:59:00Z</dcterms:created>
  <dcterms:modified xsi:type="dcterms:W3CDTF">2026-05-29T18:59:00Z</dcterms:modified>
</cp:coreProperties>
</file>